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CF2D31" w:rsidTr="00CF2D31">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CF2D31">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CF2D31">
                    <w:trPr>
                      <w:tblCellSpacing w:w="0" w:type="dxa"/>
                      <w:jc w:val="center"/>
                    </w:trPr>
                    <w:tc>
                      <w:tcPr>
                        <w:tcW w:w="5000" w:type="pct"/>
                        <w:vAlign w:val="center"/>
                        <w:hideMark/>
                      </w:tcPr>
                      <w:p w:rsidR="00CF2D31" w:rsidRDefault="00CF2D31">
                        <w:pPr>
                          <w:jc w:val="center"/>
                          <w:rPr>
                            <w:rFonts w:eastAsia="Times New Roman"/>
                          </w:rPr>
                        </w:pPr>
                        <w:r>
                          <w:rPr>
                            <w:rFonts w:eastAsia="Times New Roman"/>
                          </w:rPr>
                          <w:fldChar w:fldCharType="begin"/>
                        </w:r>
                        <w:r>
                          <w:rPr>
                            <w:rFonts w:eastAsia="Times New Roman"/>
                          </w:rPr>
                          <w:instrText xml:space="preserve"> HYPERLINK "https://www.sbv-fsa.ch/fr/newsletter/motions-elections-actions-des-succes-politiques-et-le-soutien-necessaire-newsletter"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CF2D31">
                    <w:trPr>
                      <w:tblCellSpacing w:w="0" w:type="dxa"/>
                      <w:jc w:val="center"/>
                    </w:trPr>
                    <w:tc>
                      <w:tcPr>
                        <w:tcW w:w="0" w:type="auto"/>
                        <w:shd w:val="clear" w:color="auto" w:fill="FFFFFF"/>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CF2D31">
                          <w:trPr>
                            <w:tblCellSpacing w:w="0" w:type="dxa"/>
                          </w:trPr>
                          <w:tc>
                            <w:tcPr>
                              <w:tcW w:w="5000" w:type="pct"/>
                              <w:vAlign w:val="center"/>
                              <w:hideMark/>
                            </w:tcPr>
                            <w:p w:rsidR="00CF2D31" w:rsidRDefault="00CF2D31">
                              <w:pPr>
                                <w:rPr>
                                  <w:rFonts w:eastAsia="Times New Roman"/>
                                </w:rPr>
                              </w:pPr>
                              <w:r>
                                <w:rPr>
                                  <w:rFonts w:eastAsia="Times New Roman"/>
                                  <w:noProof/>
                                  <w:color w:val="0000FF"/>
                                </w:rPr>
                                <w:drawing>
                                  <wp:inline distT="0" distB="0" distL="0" distR="0">
                                    <wp:extent cx="5715000" cy="2811780"/>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715000" cy="2811780"/>
                                            </a:xfrm>
                                            <a:prstGeom prst="rect">
                                              <a:avLst/>
                                            </a:prstGeom>
                                            <a:noFill/>
                                            <a:ln w="9525">
                                              <a:noFill/>
                                              <a:miter lim="800000"/>
                                              <a:headEnd/>
                                              <a:tailEnd/>
                                            </a:ln>
                                          </pic:spPr>
                                        </pic:pic>
                                      </a:graphicData>
                                    </a:graphic>
                                  </wp:inline>
                                </w:drawing>
                              </w:r>
                            </w:p>
                          </w:tc>
                        </w:tr>
                      </w:tbl>
                      <w:p w:rsidR="00CF2D31" w:rsidRDefault="00CF2D31">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CF2D31">
                          <w:trPr>
                            <w:trHeight w:val="240"/>
                            <w:tblCellSpacing w:w="0" w:type="dxa"/>
                          </w:trPr>
                          <w:tc>
                            <w:tcPr>
                              <w:tcW w:w="5000" w:type="pct"/>
                              <w:vAlign w:val="center"/>
                              <w:hideMark/>
                            </w:tcPr>
                            <w:p w:rsidR="00CF2D31" w:rsidRDefault="00CF2D31">
                              <w:pPr>
                                <w:rPr>
                                  <w:rFonts w:eastAsia="Times New Roman"/>
                                </w:rPr>
                              </w:pPr>
                              <w:r>
                                <w:rPr>
                                  <w:rFonts w:eastAsia="Times New Roman"/>
                                </w:rPr>
                                <w:t> </w:t>
                              </w:r>
                            </w:p>
                          </w:tc>
                        </w:tr>
                      </w:tbl>
                      <w:p w:rsidR="00CF2D31" w:rsidRDefault="00CF2D31">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CF2D31">
                          <w:trPr>
                            <w:tblCellSpacing w:w="0" w:type="dxa"/>
                          </w:trPr>
                          <w:tc>
                            <w:tcPr>
                              <w:tcW w:w="5000" w:type="pct"/>
                              <w:vAlign w:val="center"/>
                              <w:hideMark/>
                            </w:tcPr>
                            <w:p w:rsidR="00CF2D31" w:rsidRDefault="00CF2D31">
                              <w:pPr>
                                <w:pStyle w:val="Titre1"/>
                                <w:jc w:val="center"/>
                                <w:rPr>
                                  <w:rFonts w:eastAsia="Times New Roman"/>
                                  <w:color w:val="0018A8"/>
                                  <w:sz w:val="51"/>
                                  <w:szCs w:val="51"/>
                                </w:rPr>
                              </w:pPr>
                              <w:r>
                                <w:rPr>
                                  <w:rFonts w:eastAsia="Times New Roman"/>
                                  <w:color w:val="0018A8"/>
                                  <w:sz w:val="51"/>
                                  <w:szCs w:val="51"/>
                                </w:rPr>
                                <w:t>Newsletter</w:t>
                              </w:r>
                            </w:p>
                          </w:tc>
                        </w:tr>
                      </w:tbl>
                      <w:p w:rsidR="00CF2D31" w:rsidRDefault="00CF2D31">
                        <w:pPr>
                          <w:rPr>
                            <w:rFonts w:eastAsia="Times New Roman"/>
                            <w:sz w:val="20"/>
                            <w:szCs w:val="20"/>
                          </w:rPr>
                        </w:pPr>
                      </w:p>
                    </w:tc>
                  </w:tr>
                </w:tbl>
                <w:p w:rsidR="00CF2D31" w:rsidRDefault="00CF2D31">
                  <w:pPr>
                    <w:rPr>
                      <w:rFonts w:eastAsia="Times New Roman"/>
                    </w:rPr>
                  </w:pPr>
                  <w:r>
                    <w:rPr>
                      <w:rFonts w:eastAsia="Times New Roman"/>
                    </w:rPr>
                    <w:t xml:space="preserve">Bonjour, </w:t>
                  </w:r>
                </w:p>
                <w:p w:rsidR="00CF2D31" w:rsidRDefault="00CF2D31">
                  <w:pPr>
                    <w:pStyle w:val="NormalWeb"/>
                  </w:pPr>
                  <w:r>
                    <w:t>Ça bouge à Berne! En septembre, deux motions destinées à faire avancer l’accessibilité ont été adoptées aux Chambres fédérales. La première charge le Conseil fédéral d’élaborer un projet de réglementation visant à garantir l’accessibilité numérique des produits et services dans le secteur privé. Quant à la deuxième, elle demande que soient créées les bases légales nécessaires pour rendre obligatoire l’impression de codes QR sur les médicaments et les notices d’emballage. Dans cette Newsletter, vous en apprendrez plus sur ces motions ainsi que sur d’autres actions et campagnes réussies auxquelles la FSA a participé.</w:t>
                  </w:r>
                </w:p>
                <w:p w:rsidR="00CF2D31" w:rsidRDefault="00CF2D31">
                  <w:pPr>
                    <w:pStyle w:val="NormalWeb"/>
                  </w:pPr>
                  <w:r>
                    <w:t>Et bien entendu, les élections fédérales de cet automne sont toujours d’actualité. Vous avez probablement reçu ces derniers jours (ou les recevrez prochainement) les documents électoraux et nous profitons de cette occasion pour vous présenter les candidatures au Conseil national de plusieurs membres de la FSA! Vous trouverez de plus amples informations sur les candidates et candidats dans le premier article de cette Newsletter.</w:t>
                  </w:r>
                </w:p>
                <w:p w:rsidR="00CF2D31" w:rsidRDefault="00CF2D31">
                  <w:pPr>
                    <w:pStyle w:val="NormalWeb"/>
                  </w:pPr>
                  <w:r>
                    <w:t>Enfin, nous vous donnerons un petit aperçu des événements, manifestations et offres à ne pas manquer cet automne. Nous vous souhaitons bonne lecture et vous remercions de votre fidélité et soutien indéfectible!</w:t>
                  </w:r>
                </w:p>
                <w:p w:rsidR="00CF2D31" w:rsidRDefault="00CF2D31">
                  <w:pPr>
                    <w:pStyle w:val="NormalWeb"/>
                  </w:pPr>
                  <w:r>
                    <w:t>Cordialement</w:t>
                  </w:r>
                  <w:r>
                    <w:br/>
                    <w:t>L’équipe de rédaction</w:t>
                  </w:r>
                </w:p>
                <w:p w:rsidR="00CF2D31" w:rsidRDefault="00CF2D31">
                  <w:pPr>
                    <w:pStyle w:val="NormalWeb"/>
                  </w:pPr>
                  <w:r>
                    <w:t> </w:t>
                  </w:r>
                </w:p>
                <w:tbl>
                  <w:tblPr>
                    <w:tblW w:w="9000" w:type="dxa"/>
                    <w:jc w:val="center"/>
                    <w:tblCellSpacing w:w="0" w:type="dxa"/>
                    <w:tblCellMar>
                      <w:left w:w="0" w:type="dxa"/>
                      <w:right w:w="0" w:type="dxa"/>
                    </w:tblCellMar>
                    <w:tblLook w:val="04A0"/>
                  </w:tblPr>
                  <w:tblGrid>
                    <w:gridCol w:w="9000"/>
                  </w:tblGrid>
                  <w:tr w:rsidR="00CF2D31">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F2D31">
                          <w:trPr>
                            <w:tblCellSpacing w:w="0" w:type="dxa"/>
                          </w:trPr>
                          <w:tc>
                            <w:tcPr>
                              <w:tcW w:w="0" w:type="auto"/>
                              <w:shd w:val="clear" w:color="auto" w:fill="0018A8"/>
                              <w:tcMar>
                                <w:top w:w="0" w:type="dxa"/>
                                <w:left w:w="225" w:type="dxa"/>
                                <w:bottom w:w="0" w:type="dxa"/>
                                <w:right w:w="225" w:type="dxa"/>
                              </w:tcMar>
                              <w:vAlign w:val="center"/>
                              <w:hideMark/>
                            </w:tcPr>
                            <w:p w:rsidR="00CF2D31" w:rsidRDefault="00CF2D31">
                              <w:pPr>
                                <w:pStyle w:val="Titre2"/>
                                <w:rPr>
                                  <w:rFonts w:eastAsia="Times New Roman"/>
                                  <w:color w:val="FFFFFF"/>
                                </w:rPr>
                              </w:pPr>
                              <w:r>
                                <w:rPr>
                                  <w:rFonts w:eastAsia="Times New Roman"/>
                                  <w:color w:val="FFFFFF"/>
                                </w:rPr>
                                <w:t xml:space="preserve">Nos candidates et candidats aux élections 2023 </w:t>
                              </w:r>
                            </w:p>
                          </w:tc>
                        </w:tr>
                      </w:tbl>
                      <w:p w:rsidR="00CF2D31" w:rsidRDefault="00CF2D31">
                        <w:pPr>
                          <w:rPr>
                            <w:rFonts w:eastAsia="Times New Roman"/>
                            <w:sz w:val="20"/>
                            <w:szCs w:val="20"/>
                          </w:rPr>
                        </w:pPr>
                      </w:p>
                    </w:tc>
                  </w:tr>
                  <w:tr w:rsidR="00CF2D31">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F2D31">
                          <w:tc>
                            <w:tcPr>
                              <w:tcW w:w="5000" w:type="pct"/>
                              <w:hideMark/>
                            </w:tcPr>
                            <w:p w:rsidR="00CF2D31" w:rsidRDefault="00CF2D31">
                              <w:pPr>
                                <w:rPr>
                                  <w:rFonts w:eastAsia="Times New Roman"/>
                                </w:rPr>
                              </w:pPr>
                              <w:r>
                                <w:rPr>
                                  <w:rFonts w:eastAsia="Times New Roman"/>
                                </w:rPr>
                                <w:t xml:space="preserve">Plusieurs membres de la FSA sont candidats au Conseil national. Parmi eux, certains exercent déjà des </w:t>
                              </w:r>
                              <w:r>
                                <w:rPr>
                                  <w:rFonts w:eastAsia="Times New Roman"/>
                                </w:rPr>
                                <w:lastRenderedPageBreak/>
                                <w:t xml:space="preserve">fonctions politiques, dont Verena </w:t>
                              </w:r>
                              <w:proofErr w:type="spellStart"/>
                              <w:r>
                                <w:rPr>
                                  <w:rFonts w:eastAsia="Times New Roman"/>
                                </w:rPr>
                                <w:t>Kuonen</w:t>
                              </w:r>
                              <w:proofErr w:type="spellEnd"/>
                              <w:r>
                                <w:rPr>
                                  <w:rFonts w:eastAsia="Times New Roman"/>
                                </w:rPr>
                                <w:t>-</w:t>
                              </w:r>
                              <w:proofErr w:type="spellStart"/>
                              <w:r>
                                <w:rPr>
                                  <w:rFonts w:eastAsia="Times New Roman"/>
                                </w:rPr>
                                <w:t>Kohler</w:t>
                              </w:r>
                              <w:proofErr w:type="spellEnd"/>
                              <w:r>
                                <w:rPr>
                                  <w:rFonts w:eastAsia="Times New Roman"/>
                                </w:rPr>
                                <w:t xml:space="preserve"> (co-présidente d’Inclusion Handicap et membre du conseil communal de Pully, </w:t>
                              </w:r>
                              <w:proofErr w:type="spellStart"/>
                              <w:r>
                                <w:rPr>
                                  <w:rFonts w:eastAsia="Times New Roman"/>
                                </w:rPr>
                                <w:t>VD</w:t>
                              </w:r>
                              <w:proofErr w:type="spellEnd"/>
                              <w:r>
                                <w:rPr>
                                  <w:rFonts w:eastAsia="Times New Roman"/>
                                </w:rPr>
                                <w:t xml:space="preserve">) ou </w:t>
                              </w:r>
                              <w:proofErr w:type="spellStart"/>
                              <w:r>
                                <w:rPr>
                                  <w:rFonts w:eastAsia="Times New Roman"/>
                                </w:rPr>
                                <w:t>Urs</w:t>
                              </w:r>
                              <w:proofErr w:type="spellEnd"/>
                              <w:r>
                                <w:rPr>
                                  <w:rFonts w:eastAsia="Times New Roman"/>
                                </w:rPr>
                                <w:t xml:space="preserve"> </w:t>
                              </w:r>
                              <w:proofErr w:type="spellStart"/>
                              <w:r>
                                <w:rPr>
                                  <w:rFonts w:eastAsia="Times New Roman"/>
                                </w:rPr>
                                <w:t>Lüscher</w:t>
                              </w:r>
                              <w:proofErr w:type="spellEnd"/>
                              <w:r>
                                <w:rPr>
                                  <w:rFonts w:eastAsia="Times New Roman"/>
                                </w:rPr>
                                <w:t>, secrétaire de la section zurichoise et délégué de la FSA. Nous leur avons posé quelques questions et vous présentons ci-après leur portrait.</w:t>
                              </w:r>
                            </w:p>
                            <w:p w:rsidR="00CF2D31" w:rsidRDefault="00CF2D31">
                              <w:pPr>
                                <w:numPr>
                                  <w:ilvl w:val="0"/>
                                  <w:numId w:val="1"/>
                                </w:numPr>
                                <w:spacing w:before="100" w:beforeAutospacing="1" w:after="100" w:afterAutospacing="1"/>
                                <w:rPr>
                                  <w:rFonts w:eastAsia="Times New Roman"/>
                                </w:rPr>
                              </w:pPr>
                              <w:hyperlink r:id="rId7" w:tooltip="Nos candidates et candidats aux élections 2023" w:history="1">
                                <w:r>
                                  <w:rPr>
                                    <w:rStyle w:val="Lienhypertexte"/>
                                    <w:rFonts w:eastAsia="Times New Roman"/>
                                  </w:rPr>
                                  <w:t>En savoir plus</w:t>
                                </w:r>
                                <w:r>
                                  <w:rPr>
                                    <w:rStyle w:val="visually-hidden"/>
                                    <w:rFonts w:eastAsia="Times New Roman"/>
                                    <w:color w:val="0000FF"/>
                                  </w:rPr>
                                  <w:t xml:space="preserve"> sur Nos candidates et candidats aux élections 2023</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F2D31">
                          <w:trPr>
                            <w:trHeight w:val="240"/>
                            <w:tblCellSpacing w:w="0" w:type="dxa"/>
                          </w:trPr>
                          <w:tc>
                            <w:tcPr>
                              <w:tcW w:w="5000" w:type="pct"/>
                              <w:vAlign w:val="center"/>
                              <w:hideMark/>
                            </w:tcPr>
                            <w:p w:rsidR="00CF2D31" w:rsidRDefault="00CF2D31">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F2D31">
                          <w:tc>
                            <w:tcPr>
                              <w:tcW w:w="5000" w:type="pct"/>
                              <w:vAlign w:val="center"/>
                              <w:hideMark/>
                            </w:tcPr>
                            <w:p w:rsidR="00CF2D31" w:rsidRDefault="00CF2D31">
                              <w:pPr>
                                <w:rPr>
                                  <w:rFonts w:eastAsia="Times New Roman"/>
                                </w:rPr>
                              </w:pPr>
                              <w:r>
                                <w:rPr>
                                  <w:rFonts w:eastAsia="Times New Roman"/>
                                  <w:noProof/>
                                  <w:color w:val="0000FF"/>
                                </w:rPr>
                                <w:drawing>
                                  <wp:inline distT="0" distB="0" distL="0" distR="0">
                                    <wp:extent cx="2194560" cy="1226820"/>
                                    <wp:effectExtent l="19050" t="0" r="0" b="0"/>
                                    <wp:docPr id="2" name="Image 2" descr="Photomontage de tous les candidats et candidates présentés dans les por-traits. (de g. à dr.: Urs Lüscher, Sébastien Piguet, Marianne Plüss, Verena Kuonen-Kohl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ontage de tous les candidats et candidates présentés dans les por-traits. (de g. à dr.: Urs Lüscher, Sébastien Piguet, Marianne Plüss, Verena Kuonen-Kohler)"/>
                                            <pic:cNvPicPr>
                                              <a:picLocks noChangeAspect="1" noChangeArrowheads="1"/>
                                            </pic:cNvPicPr>
                                          </pic:nvPicPr>
                                          <pic:blipFill>
                                            <a:blip r:embed="rId8"/>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F2D31" w:rsidRDefault="00CF2D31">
                        <w:pPr>
                          <w:rPr>
                            <w:rFonts w:eastAsia="Times New Roman"/>
                            <w:sz w:val="20"/>
                            <w:szCs w:val="20"/>
                          </w:rPr>
                        </w:pPr>
                      </w:p>
                    </w:tc>
                  </w:tr>
                </w:tbl>
                <w:p w:rsidR="00CF2D31" w:rsidRDefault="00CF2D31">
                  <w:pPr>
                    <w:rPr>
                      <w:rFonts w:eastAsia="Times New Roman"/>
                    </w:rPr>
                  </w:pPr>
                </w:p>
                <w:tbl>
                  <w:tblPr>
                    <w:tblW w:w="9000" w:type="dxa"/>
                    <w:jc w:val="center"/>
                    <w:tblCellSpacing w:w="0" w:type="dxa"/>
                    <w:tblCellMar>
                      <w:left w:w="0" w:type="dxa"/>
                      <w:right w:w="0" w:type="dxa"/>
                    </w:tblCellMar>
                    <w:tblLook w:val="04A0"/>
                  </w:tblPr>
                  <w:tblGrid>
                    <w:gridCol w:w="9000"/>
                  </w:tblGrid>
                  <w:tr w:rsidR="00CF2D31">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F2D31">
                          <w:trPr>
                            <w:tblCellSpacing w:w="0" w:type="dxa"/>
                          </w:trPr>
                          <w:tc>
                            <w:tcPr>
                              <w:tcW w:w="0" w:type="auto"/>
                              <w:shd w:val="clear" w:color="auto" w:fill="0018A8"/>
                              <w:tcMar>
                                <w:top w:w="0" w:type="dxa"/>
                                <w:left w:w="225" w:type="dxa"/>
                                <w:bottom w:w="0" w:type="dxa"/>
                                <w:right w:w="225" w:type="dxa"/>
                              </w:tcMar>
                              <w:vAlign w:val="center"/>
                              <w:hideMark/>
                            </w:tcPr>
                            <w:p w:rsidR="00CF2D31" w:rsidRDefault="00CF2D31">
                              <w:pPr>
                                <w:pStyle w:val="Titre2"/>
                                <w:rPr>
                                  <w:rFonts w:eastAsia="Times New Roman"/>
                                  <w:color w:val="FFFFFF"/>
                                </w:rPr>
                              </w:pPr>
                              <w:r>
                                <w:rPr>
                                  <w:rFonts w:eastAsia="Times New Roman"/>
                                  <w:color w:val="FFFFFF"/>
                                </w:rPr>
                                <w:t xml:space="preserve">Initiative pour l’inclusion: le cap des 50'000 signatures a été franchi – et maintenant? </w:t>
                              </w:r>
                            </w:p>
                          </w:tc>
                        </w:tr>
                      </w:tbl>
                      <w:p w:rsidR="00CF2D31" w:rsidRDefault="00CF2D31">
                        <w:pPr>
                          <w:rPr>
                            <w:rFonts w:eastAsia="Times New Roman"/>
                            <w:sz w:val="20"/>
                            <w:szCs w:val="20"/>
                          </w:rPr>
                        </w:pPr>
                      </w:p>
                    </w:tc>
                  </w:tr>
                  <w:tr w:rsidR="00CF2D31">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F2D31">
                          <w:tc>
                            <w:tcPr>
                              <w:tcW w:w="5000" w:type="pct"/>
                              <w:hideMark/>
                            </w:tcPr>
                            <w:p w:rsidR="00CF2D31" w:rsidRDefault="00CF2D31">
                              <w:pPr>
                                <w:rPr>
                                  <w:rFonts w:eastAsia="Times New Roman"/>
                                </w:rPr>
                              </w:pPr>
                              <w:r>
                                <w:rPr>
                                  <w:rFonts w:eastAsia="Times New Roman"/>
                                </w:rPr>
                                <w:t>Bonne nouvelle: grâce à l’engagement des nombreux bénévoles lors de la première journée nationale de récolte de signatures, l’objectif intermédiaire de 50'000 signatures a été atteint. D’autres actions sont prévues cet automne et nous sommes tous appelés à relever le défi des 100'000 signatures!</w:t>
                              </w:r>
                            </w:p>
                            <w:p w:rsidR="00CF2D31" w:rsidRDefault="00CF2D31">
                              <w:pPr>
                                <w:numPr>
                                  <w:ilvl w:val="0"/>
                                  <w:numId w:val="2"/>
                                </w:numPr>
                                <w:spacing w:before="100" w:beforeAutospacing="1" w:after="100" w:afterAutospacing="1"/>
                                <w:rPr>
                                  <w:rFonts w:eastAsia="Times New Roman"/>
                                </w:rPr>
                              </w:pPr>
                              <w:hyperlink r:id="rId9" w:tooltip="Initiative pour l’inclusion: le cap des 50'000 signatures a été franchi – et maintenant?" w:history="1">
                                <w:r>
                                  <w:rPr>
                                    <w:rStyle w:val="Lienhypertexte"/>
                                    <w:rFonts w:eastAsia="Times New Roman"/>
                                  </w:rPr>
                                  <w:t>En savoir plus</w:t>
                                </w:r>
                                <w:r>
                                  <w:rPr>
                                    <w:rStyle w:val="visually-hidden"/>
                                    <w:rFonts w:eastAsia="Times New Roman"/>
                                    <w:color w:val="0000FF"/>
                                  </w:rPr>
                                  <w:t xml:space="preserve"> sur Initiative pour l’inclusion: le cap des 50'000 signatures a été franchi – et maintenant?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F2D31">
                          <w:trPr>
                            <w:trHeight w:val="240"/>
                            <w:tblCellSpacing w:w="0" w:type="dxa"/>
                          </w:trPr>
                          <w:tc>
                            <w:tcPr>
                              <w:tcW w:w="5000" w:type="pct"/>
                              <w:vAlign w:val="center"/>
                              <w:hideMark/>
                            </w:tcPr>
                            <w:p w:rsidR="00CF2D31" w:rsidRDefault="00CF2D31">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F2D31">
                          <w:tc>
                            <w:tcPr>
                              <w:tcW w:w="5000" w:type="pct"/>
                              <w:vAlign w:val="center"/>
                              <w:hideMark/>
                            </w:tcPr>
                            <w:p w:rsidR="00CF2D31" w:rsidRDefault="00CF2D31">
                              <w:pPr>
                                <w:rPr>
                                  <w:rFonts w:eastAsia="Times New Roman"/>
                                </w:rPr>
                              </w:pPr>
                              <w:r>
                                <w:rPr>
                                  <w:rFonts w:eastAsia="Times New Roman"/>
                                  <w:noProof/>
                                  <w:color w:val="0000FF"/>
                                </w:rPr>
                                <w:drawing>
                                  <wp:inline distT="0" distB="0" distL="0" distR="0">
                                    <wp:extent cx="2194560" cy="1226820"/>
                                    <wp:effectExtent l="19050" t="0" r="0" b="0"/>
                                    <wp:docPr id="3" name="Image 3" descr="Une personne signe l’initiative pour l’inclus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 personne signe l’initiative pour l’inclusion."/>
                                            <pic:cNvPicPr>
                                              <a:picLocks noChangeAspect="1" noChangeArrowheads="1"/>
                                            </pic:cNvPicPr>
                                          </pic:nvPicPr>
                                          <pic:blipFill>
                                            <a:blip r:embed="rId10"/>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F2D31" w:rsidRDefault="00CF2D31">
                        <w:pPr>
                          <w:rPr>
                            <w:rFonts w:eastAsia="Times New Roman"/>
                            <w:sz w:val="20"/>
                            <w:szCs w:val="20"/>
                          </w:rPr>
                        </w:pPr>
                      </w:p>
                    </w:tc>
                  </w:tr>
                </w:tbl>
                <w:p w:rsidR="00CF2D31" w:rsidRDefault="00CF2D31">
                  <w:pPr>
                    <w:rPr>
                      <w:rFonts w:eastAsia="Times New Roman"/>
                    </w:rPr>
                  </w:pPr>
                </w:p>
                <w:tbl>
                  <w:tblPr>
                    <w:tblW w:w="9000" w:type="dxa"/>
                    <w:jc w:val="center"/>
                    <w:tblCellSpacing w:w="0" w:type="dxa"/>
                    <w:tblCellMar>
                      <w:left w:w="0" w:type="dxa"/>
                      <w:right w:w="0" w:type="dxa"/>
                    </w:tblCellMar>
                    <w:tblLook w:val="04A0"/>
                  </w:tblPr>
                  <w:tblGrid>
                    <w:gridCol w:w="9000"/>
                  </w:tblGrid>
                  <w:tr w:rsidR="00CF2D31">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F2D31">
                          <w:trPr>
                            <w:tblCellSpacing w:w="0" w:type="dxa"/>
                          </w:trPr>
                          <w:tc>
                            <w:tcPr>
                              <w:tcW w:w="0" w:type="auto"/>
                              <w:shd w:val="clear" w:color="auto" w:fill="0018A8"/>
                              <w:tcMar>
                                <w:top w:w="0" w:type="dxa"/>
                                <w:left w:w="225" w:type="dxa"/>
                                <w:bottom w:w="0" w:type="dxa"/>
                                <w:right w:w="225" w:type="dxa"/>
                              </w:tcMar>
                              <w:vAlign w:val="center"/>
                              <w:hideMark/>
                            </w:tcPr>
                            <w:p w:rsidR="00CF2D31" w:rsidRDefault="00CF2D31">
                              <w:pPr>
                                <w:pStyle w:val="Titre2"/>
                                <w:rPr>
                                  <w:rFonts w:eastAsia="Times New Roman"/>
                                  <w:color w:val="FFFFFF"/>
                                </w:rPr>
                              </w:pPr>
                              <w:r>
                                <w:rPr>
                                  <w:rFonts w:eastAsia="Times New Roman"/>
                                  <w:color w:val="FFFFFF"/>
                                </w:rPr>
                                <w:t xml:space="preserve">Bonnes nouvelles de Berne – la mise en œuvre de deux </w:t>
                              </w:r>
                              <w:proofErr w:type="spellStart"/>
                              <w:r>
                                <w:rPr>
                                  <w:rFonts w:eastAsia="Times New Roman"/>
                                  <w:color w:val="FFFFFF"/>
                                </w:rPr>
                                <w:t>mo-tions</w:t>
                              </w:r>
                              <w:proofErr w:type="spellEnd"/>
                              <w:r>
                                <w:rPr>
                                  <w:rFonts w:eastAsia="Times New Roman"/>
                                  <w:color w:val="FFFFFF"/>
                                </w:rPr>
                                <w:t xml:space="preserve"> demandant l’accessibilité est en bonne voie! </w:t>
                              </w:r>
                            </w:p>
                          </w:tc>
                        </w:tr>
                      </w:tbl>
                      <w:p w:rsidR="00CF2D31" w:rsidRDefault="00CF2D31">
                        <w:pPr>
                          <w:rPr>
                            <w:rFonts w:eastAsia="Times New Roman"/>
                            <w:sz w:val="20"/>
                            <w:szCs w:val="20"/>
                          </w:rPr>
                        </w:pPr>
                      </w:p>
                    </w:tc>
                  </w:tr>
                  <w:tr w:rsidR="00CF2D31">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F2D31">
                          <w:tc>
                            <w:tcPr>
                              <w:tcW w:w="5000" w:type="pct"/>
                              <w:hideMark/>
                            </w:tcPr>
                            <w:p w:rsidR="00CF2D31" w:rsidRDefault="00CF2D31">
                              <w:pPr>
                                <w:rPr>
                                  <w:rFonts w:eastAsia="Times New Roman"/>
                                </w:rPr>
                              </w:pPr>
                              <w:r>
                                <w:rPr>
                                  <w:rFonts w:eastAsia="Times New Roman"/>
                                </w:rPr>
                                <w:t xml:space="preserve">En septembre, deux bonnes nouvelles nous sont parvenues de Berne: d’une part, le Conseil fédéral a recommandé d’approuver la motion de Gerhard </w:t>
                              </w:r>
                              <w:proofErr w:type="spellStart"/>
                              <w:r>
                                <w:rPr>
                                  <w:rFonts w:eastAsia="Times New Roman"/>
                                </w:rPr>
                                <w:t>Andrey</w:t>
                              </w:r>
                              <w:proofErr w:type="spellEnd"/>
                              <w:r>
                                <w:rPr>
                                  <w:rFonts w:eastAsia="Times New Roman"/>
                                </w:rPr>
                                <w:t xml:space="preserve"> demandant l’accessibilité numérique des produits et services informatiques dans le secteur privé. Nous nous en réjouissons d’autant plus que la FSA a collaboré étroitement à l’élaboration de cette motion. D’autre part, le Conseil des États a fini par adopter la motion </w:t>
                              </w:r>
                              <w:proofErr w:type="spellStart"/>
                              <w:r>
                                <w:rPr>
                                  <w:rFonts w:eastAsia="Times New Roman"/>
                                </w:rPr>
                                <w:t>Dobler</w:t>
                              </w:r>
                              <w:proofErr w:type="spellEnd"/>
                              <w:r>
                                <w:rPr>
                                  <w:rFonts w:eastAsia="Times New Roman"/>
                                </w:rPr>
                                <w:t xml:space="preserve"> qui charge le Conseil fédéral de créer les bases légales nécessaires pour rendre obligatoire les codes QR sur les médicaments et les notices d’emballage.</w:t>
                              </w:r>
                            </w:p>
                            <w:p w:rsidR="00CF2D31" w:rsidRDefault="00CF2D31">
                              <w:pPr>
                                <w:numPr>
                                  <w:ilvl w:val="0"/>
                                  <w:numId w:val="3"/>
                                </w:numPr>
                                <w:spacing w:before="100" w:beforeAutospacing="1" w:after="100" w:afterAutospacing="1"/>
                                <w:rPr>
                                  <w:rFonts w:eastAsia="Times New Roman"/>
                                </w:rPr>
                              </w:pPr>
                              <w:hyperlink r:id="rId11" w:tooltip="Bonnes nouvelles de Berne – la mise en œuvre de deux mo-tions demandant l’accessibilité est en bonne voie! " w:history="1">
                                <w:r>
                                  <w:rPr>
                                    <w:rStyle w:val="Lienhypertexte"/>
                                    <w:rFonts w:eastAsia="Times New Roman"/>
                                  </w:rPr>
                                  <w:t>En savoir plus</w:t>
                                </w:r>
                                <w:r>
                                  <w:rPr>
                                    <w:rStyle w:val="visually-hidden"/>
                                    <w:rFonts w:eastAsia="Times New Roman"/>
                                    <w:color w:val="0000FF"/>
                                  </w:rPr>
                                  <w:t xml:space="preserve"> sur Bonnes nouvelles de Berne – la mise en œuvre de deux </w:t>
                                </w:r>
                                <w:proofErr w:type="spellStart"/>
                                <w:r>
                                  <w:rPr>
                                    <w:rStyle w:val="visually-hidden"/>
                                    <w:rFonts w:eastAsia="Times New Roman"/>
                                    <w:color w:val="0000FF"/>
                                  </w:rPr>
                                  <w:t>mo-tions</w:t>
                                </w:r>
                                <w:proofErr w:type="spellEnd"/>
                                <w:r>
                                  <w:rPr>
                                    <w:rStyle w:val="visually-hidden"/>
                                    <w:rFonts w:eastAsia="Times New Roman"/>
                                    <w:color w:val="0000FF"/>
                                  </w:rPr>
                                  <w:t xml:space="preserve"> demandant l’accessibilité est en bonne voie!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F2D31">
                          <w:trPr>
                            <w:trHeight w:val="240"/>
                            <w:tblCellSpacing w:w="0" w:type="dxa"/>
                          </w:trPr>
                          <w:tc>
                            <w:tcPr>
                              <w:tcW w:w="5000" w:type="pct"/>
                              <w:vAlign w:val="center"/>
                              <w:hideMark/>
                            </w:tcPr>
                            <w:p w:rsidR="00CF2D31" w:rsidRDefault="00CF2D31">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F2D31">
                          <w:tc>
                            <w:tcPr>
                              <w:tcW w:w="5000" w:type="pct"/>
                              <w:vAlign w:val="center"/>
                              <w:hideMark/>
                            </w:tcPr>
                            <w:p w:rsidR="00CF2D31" w:rsidRDefault="00CF2D31">
                              <w:pPr>
                                <w:rPr>
                                  <w:rFonts w:eastAsia="Times New Roman"/>
                                </w:rPr>
                              </w:pPr>
                              <w:r>
                                <w:rPr>
                                  <w:rFonts w:eastAsia="Times New Roman"/>
                                  <w:noProof/>
                                  <w:color w:val="0000FF"/>
                                </w:rPr>
                                <w:drawing>
                                  <wp:inline distT="0" distB="0" distL="0" distR="0">
                                    <wp:extent cx="2194560" cy="1226820"/>
                                    <wp:effectExtent l="19050" t="0" r="0" b="0"/>
                                    <wp:docPr id="4" name="Image 4" descr="Image symbolique: un homme est assis devant un ordinateur portable et consulte le smart-phone qu’il tient dans la main. Les deux écrans sont noi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symbolique: un homme est assis devant un ordinateur portable et consulte le smart-phone qu’il tient dans la main. Les deux écrans sont noirs."/>
                                            <pic:cNvPicPr>
                                              <a:picLocks noChangeAspect="1" noChangeArrowheads="1"/>
                                            </pic:cNvPicPr>
                                          </pic:nvPicPr>
                                          <pic:blipFill>
                                            <a:blip r:embed="rId12"/>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F2D31" w:rsidRDefault="00CF2D31">
                        <w:pPr>
                          <w:rPr>
                            <w:rFonts w:eastAsia="Times New Roman"/>
                            <w:sz w:val="20"/>
                            <w:szCs w:val="20"/>
                          </w:rPr>
                        </w:pPr>
                      </w:p>
                    </w:tc>
                  </w:tr>
                </w:tbl>
                <w:p w:rsidR="00CF2D31" w:rsidRDefault="00CF2D31">
                  <w:pPr>
                    <w:rPr>
                      <w:rFonts w:eastAsia="Times New Roman"/>
                    </w:rPr>
                  </w:pPr>
                </w:p>
                <w:tbl>
                  <w:tblPr>
                    <w:tblW w:w="9000" w:type="dxa"/>
                    <w:jc w:val="center"/>
                    <w:tblCellSpacing w:w="0" w:type="dxa"/>
                    <w:tblCellMar>
                      <w:left w:w="0" w:type="dxa"/>
                      <w:right w:w="0" w:type="dxa"/>
                    </w:tblCellMar>
                    <w:tblLook w:val="04A0"/>
                  </w:tblPr>
                  <w:tblGrid>
                    <w:gridCol w:w="9000"/>
                  </w:tblGrid>
                  <w:tr w:rsidR="00CF2D31">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F2D31">
                          <w:trPr>
                            <w:tblCellSpacing w:w="0" w:type="dxa"/>
                          </w:trPr>
                          <w:tc>
                            <w:tcPr>
                              <w:tcW w:w="0" w:type="auto"/>
                              <w:shd w:val="clear" w:color="auto" w:fill="0018A8"/>
                              <w:tcMar>
                                <w:top w:w="0" w:type="dxa"/>
                                <w:left w:w="225" w:type="dxa"/>
                                <w:bottom w:w="0" w:type="dxa"/>
                                <w:right w:w="225" w:type="dxa"/>
                              </w:tcMar>
                              <w:vAlign w:val="center"/>
                              <w:hideMark/>
                            </w:tcPr>
                            <w:p w:rsidR="00CF2D31" w:rsidRDefault="00CF2D31">
                              <w:pPr>
                                <w:pStyle w:val="Titre2"/>
                                <w:rPr>
                                  <w:rFonts w:eastAsia="Times New Roman"/>
                                  <w:color w:val="FFFFFF"/>
                                </w:rPr>
                              </w:pPr>
                              <w:r>
                                <w:rPr>
                                  <w:rFonts w:eastAsia="Times New Roman"/>
                                  <w:color w:val="FFFFFF"/>
                                </w:rPr>
                                <w:t xml:space="preserve">Journée de la canne blanche – les sections de la FSA sont au rendez-vous! </w:t>
                              </w:r>
                            </w:p>
                          </w:tc>
                        </w:tr>
                      </w:tbl>
                      <w:p w:rsidR="00CF2D31" w:rsidRDefault="00CF2D31">
                        <w:pPr>
                          <w:rPr>
                            <w:rFonts w:eastAsia="Times New Roman"/>
                            <w:sz w:val="20"/>
                            <w:szCs w:val="20"/>
                          </w:rPr>
                        </w:pPr>
                      </w:p>
                    </w:tc>
                  </w:tr>
                  <w:tr w:rsidR="00CF2D31">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F2D31">
                          <w:tc>
                            <w:tcPr>
                              <w:tcW w:w="5000" w:type="pct"/>
                              <w:hideMark/>
                            </w:tcPr>
                            <w:p w:rsidR="00CF2D31" w:rsidRDefault="00CF2D31">
                              <w:pPr>
                                <w:rPr>
                                  <w:rFonts w:eastAsia="Times New Roman"/>
                                </w:rPr>
                              </w:pPr>
                              <w:r>
                                <w:rPr>
                                  <w:rFonts w:eastAsia="Times New Roman"/>
                                </w:rPr>
                                <w:t>À l’occasion de la Journée de la canne blanche, les sections de la FSA seront présentes en divers lieux pour informer sur le quotidien des personnes utilisant une canne blanche et expliquer ce que peut faire la population pour améliorer le vivre ensemble.</w:t>
                              </w:r>
                            </w:p>
                            <w:p w:rsidR="00CF2D31" w:rsidRDefault="00CF2D31">
                              <w:pPr>
                                <w:numPr>
                                  <w:ilvl w:val="0"/>
                                  <w:numId w:val="4"/>
                                </w:numPr>
                                <w:spacing w:before="100" w:beforeAutospacing="1" w:after="100" w:afterAutospacing="1"/>
                                <w:rPr>
                                  <w:rFonts w:eastAsia="Times New Roman"/>
                                </w:rPr>
                              </w:pPr>
                              <w:hyperlink r:id="rId13" w:tooltip="Journée de la canne blanche – les sections de la FSA sont au rendez-vous!" w:history="1">
                                <w:r>
                                  <w:rPr>
                                    <w:rStyle w:val="Lienhypertexte"/>
                                    <w:rFonts w:eastAsia="Times New Roman"/>
                                  </w:rPr>
                                  <w:t>En savoir plus</w:t>
                                </w:r>
                                <w:r>
                                  <w:rPr>
                                    <w:rStyle w:val="visually-hidden"/>
                                    <w:rFonts w:eastAsia="Times New Roman"/>
                                    <w:color w:val="0000FF"/>
                                  </w:rPr>
                                  <w:t xml:space="preserve"> sur Journée de la canne blanche – les sections de la FSA </w:t>
                                </w:r>
                                <w:proofErr w:type="gramStart"/>
                                <w:r>
                                  <w:rPr>
                                    <w:rStyle w:val="visually-hidden"/>
                                    <w:rFonts w:eastAsia="Times New Roman"/>
                                    <w:color w:val="0000FF"/>
                                  </w:rPr>
                                  <w:t>sont</w:t>
                                </w:r>
                                <w:proofErr w:type="gramEnd"/>
                                <w:r>
                                  <w:rPr>
                                    <w:rStyle w:val="visually-hidden"/>
                                    <w:rFonts w:eastAsia="Times New Roman"/>
                                    <w:color w:val="0000FF"/>
                                  </w:rPr>
                                  <w:t xml:space="preserve"> au rendez-vous!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F2D31">
                          <w:trPr>
                            <w:trHeight w:val="240"/>
                            <w:tblCellSpacing w:w="0" w:type="dxa"/>
                          </w:trPr>
                          <w:tc>
                            <w:tcPr>
                              <w:tcW w:w="5000" w:type="pct"/>
                              <w:vAlign w:val="center"/>
                              <w:hideMark/>
                            </w:tcPr>
                            <w:p w:rsidR="00CF2D31" w:rsidRDefault="00CF2D31">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F2D31">
                          <w:tc>
                            <w:tcPr>
                              <w:tcW w:w="5000" w:type="pct"/>
                              <w:vAlign w:val="center"/>
                              <w:hideMark/>
                            </w:tcPr>
                            <w:p w:rsidR="00CF2D31" w:rsidRDefault="00CF2D31">
                              <w:pPr>
                                <w:rPr>
                                  <w:rFonts w:eastAsia="Times New Roman"/>
                                </w:rPr>
                              </w:pPr>
                              <w:r>
                                <w:rPr>
                                  <w:rFonts w:eastAsia="Times New Roman"/>
                                  <w:noProof/>
                                  <w:color w:val="0000FF"/>
                                </w:rPr>
                                <w:drawing>
                                  <wp:inline distT="0" distB="0" distL="0" distR="0">
                                    <wp:extent cx="2194560" cy="1226820"/>
                                    <wp:effectExtent l="19050" t="0" r="0" b="0"/>
                                    <wp:docPr id="5" name="Image 5" descr="Graphique: Représenté symboliquement en blanc sur un fond bleu: Sur les lignes directrices se trouvent une table de restaurant, un vélo et une personne avec une valise à roulettes. Une zone sur la ligne de guidage est libre. Les trois motifs sont tous barrés d'un X rouge, une coche verte est placée au-dessus de la zone libre. Au-dessus, on peut lire en blanc: Être attentionné!">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que: Représenté symboliquement en blanc sur un fond bleu: Sur les lignes directrices se trouvent une table de restaurant, un vélo et une personne avec une valise à roulettes. Une zone sur la ligne de guidage est libre. Les trois motifs sont tous barrés d'un X rouge, une coche verte est placée au-dessus de la zone libre. Au-dessus, on peut lire en blanc: Être attentionné!"/>
                                            <pic:cNvPicPr>
                                              <a:picLocks noChangeAspect="1" noChangeArrowheads="1"/>
                                            </pic:cNvPicPr>
                                          </pic:nvPicPr>
                                          <pic:blipFill>
                                            <a:blip r:embed="rId14"/>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F2D31" w:rsidRDefault="00CF2D31">
                        <w:pPr>
                          <w:rPr>
                            <w:rFonts w:eastAsia="Times New Roman"/>
                            <w:sz w:val="20"/>
                            <w:szCs w:val="20"/>
                          </w:rPr>
                        </w:pPr>
                      </w:p>
                    </w:tc>
                  </w:tr>
                </w:tbl>
                <w:p w:rsidR="00CF2D31" w:rsidRDefault="00CF2D31">
                  <w:pPr>
                    <w:rPr>
                      <w:rFonts w:eastAsia="Times New Roman"/>
                    </w:rPr>
                  </w:pPr>
                </w:p>
                <w:tbl>
                  <w:tblPr>
                    <w:tblW w:w="9000" w:type="dxa"/>
                    <w:jc w:val="center"/>
                    <w:tblCellSpacing w:w="0" w:type="dxa"/>
                    <w:tblCellMar>
                      <w:left w:w="0" w:type="dxa"/>
                      <w:right w:w="0" w:type="dxa"/>
                    </w:tblCellMar>
                    <w:tblLook w:val="04A0"/>
                  </w:tblPr>
                  <w:tblGrid>
                    <w:gridCol w:w="9000"/>
                  </w:tblGrid>
                  <w:tr w:rsidR="00CF2D31">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F2D31">
                          <w:trPr>
                            <w:tblCellSpacing w:w="0" w:type="dxa"/>
                          </w:trPr>
                          <w:tc>
                            <w:tcPr>
                              <w:tcW w:w="0" w:type="auto"/>
                              <w:shd w:val="clear" w:color="auto" w:fill="0018A8"/>
                              <w:tcMar>
                                <w:top w:w="0" w:type="dxa"/>
                                <w:left w:w="225" w:type="dxa"/>
                                <w:bottom w:w="0" w:type="dxa"/>
                                <w:right w:w="225" w:type="dxa"/>
                              </w:tcMar>
                              <w:vAlign w:val="center"/>
                              <w:hideMark/>
                            </w:tcPr>
                            <w:p w:rsidR="00CF2D31" w:rsidRDefault="00CF2D31">
                              <w:pPr>
                                <w:pStyle w:val="Titre2"/>
                                <w:rPr>
                                  <w:rFonts w:eastAsia="Times New Roman"/>
                                  <w:color w:val="FFFFFF"/>
                                </w:rPr>
                              </w:pPr>
                              <w:r>
                                <w:rPr>
                                  <w:rFonts w:eastAsia="Times New Roman"/>
                                  <w:color w:val="FFFFFF"/>
                                </w:rPr>
                                <w:t xml:space="preserve">Manifestation à Lausanne pour l’introduction rapide du vote électronique dans toute la Suisse </w:t>
                              </w:r>
                            </w:p>
                          </w:tc>
                        </w:tr>
                      </w:tbl>
                      <w:p w:rsidR="00CF2D31" w:rsidRDefault="00CF2D31">
                        <w:pPr>
                          <w:rPr>
                            <w:rFonts w:eastAsia="Times New Roman"/>
                            <w:sz w:val="20"/>
                            <w:szCs w:val="20"/>
                          </w:rPr>
                        </w:pPr>
                      </w:p>
                    </w:tc>
                  </w:tr>
                  <w:tr w:rsidR="00CF2D31">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F2D31">
                          <w:tc>
                            <w:tcPr>
                              <w:tcW w:w="5000" w:type="pct"/>
                              <w:hideMark/>
                            </w:tcPr>
                            <w:p w:rsidR="00CF2D31" w:rsidRDefault="00CF2D31">
                              <w:pPr>
                                <w:rPr>
                                  <w:rFonts w:eastAsia="Times New Roman"/>
                                </w:rPr>
                              </w:pPr>
                              <w:r>
                                <w:rPr>
                                  <w:rFonts w:eastAsia="Times New Roman"/>
                                </w:rPr>
                                <w:t>Lors de la manifestation du 16 septembre à Lausanne, les personnes en situation de handicap visuel ainsi que des politiciennes et politiciens ont revendiqué l’introduction rapide du vote électronique dans toute la Suisse et demandé que les prochaines élections fédérales d’octobre 2023 soient les dernières auxquelles les personnes concernées ne peuvent pas participer de manière autonome.</w:t>
                              </w:r>
                            </w:p>
                            <w:p w:rsidR="00CF2D31" w:rsidRDefault="00CF2D31">
                              <w:pPr>
                                <w:numPr>
                                  <w:ilvl w:val="0"/>
                                  <w:numId w:val="5"/>
                                </w:numPr>
                                <w:spacing w:before="100" w:beforeAutospacing="1" w:after="100" w:afterAutospacing="1"/>
                                <w:rPr>
                                  <w:rFonts w:eastAsia="Times New Roman"/>
                                </w:rPr>
                              </w:pPr>
                              <w:hyperlink r:id="rId15" w:tooltip="Manifestation à Lausanne pour l’introduction rapide du vote électronique dans toute la Suisse " w:history="1">
                                <w:r>
                                  <w:rPr>
                                    <w:rStyle w:val="Lienhypertexte"/>
                                    <w:rFonts w:eastAsia="Times New Roman"/>
                                  </w:rPr>
                                  <w:t>En savoir plus</w:t>
                                </w:r>
                                <w:r>
                                  <w:rPr>
                                    <w:rStyle w:val="visually-hidden"/>
                                    <w:rFonts w:eastAsia="Times New Roman"/>
                                    <w:color w:val="0000FF"/>
                                  </w:rPr>
                                  <w:t xml:space="preserve"> sur Manifestation à Lausanne pour l’introduction rapide du vote électronique dans toute la Suisse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F2D31">
                          <w:trPr>
                            <w:trHeight w:val="240"/>
                            <w:tblCellSpacing w:w="0" w:type="dxa"/>
                          </w:trPr>
                          <w:tc>
                            <w:tcPr>
                              <w:tcW w:w="5000" w:type="pct"/>
                              <w:vAlign w:val="center"/>
                              <w:hideMark/>
                            </w:tcPr>
                            <w:p w:rsidR="00CF2D31" w:rsidRDefault="00CF2D31">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F2D31">
                          <w:tc>
                            <w:tcPr>
                              <w:tcW w:w="5000" w:type="pct"/>
                              <w:vAlign w:val="center"/>
                              <w:hideMark/>
                            </w:tcPr>
                            <w:p w:rsidR="00CF2D31" w:rsidRDefault="00CF2D31">
                              <w:pPr>
                                <w:rPr>
                                  <w:rFonts w:eastAsia="Times New Roman"/>
                                </w:rPr>
                              </w:pPr>
                              <w:r>
                                <w:rPr>
                                  <w:rFonts w:eastAsia="Times New Roman"/>
                                  <w:noProof/>
                                  <w:color w:val="0000FF"/>
                                </w:rPr>
                                <w:drawing>
                                  <wp:inline distT="0" distB="0" distL="0" distR="0">
                                    <wp:extent cx="2194560" cy="1226820"/>
                                    <wp:effectExtent l="19050" t="0" r="0" b="0"/>
                                    <wp:docPr id="6" name="Image 6" descr="Une cinquantaine de personnes –participants et politiques – sont devant et sur la scène pour une photo de group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cinquantaine de personnes –participants et politiques – sont devant et sur la scène pour une photo de groupe."/>
                                            <pic:cNvPicPr>
                                              <a:picLocks noChangeAspect="1" noChangeArrowheads="1"/>
                                            </pic:cNvPicPr>
                                          </pic:nvPicPr>
                                          <pic:blipFill>
                                            <a:blip r:embed="rId16"/>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F2D31" w:rsidRDefault="00CF2D31">
                        <w:pPr>
                          <w:rPr>
                            <w:rFonts w:eastAsia="Times New Roman"/>
                            <w:sz w:val="20"/>
                            <w:szCs w:val="20"/>
                          </w:rPr>
                        </w:pPr>
                      </w:p>
                    </w:tc>
                  </w:tr>
                </w:tbl>
                <w:p w:rsidR="00CF2D31" w:rsidRDefault="00CF2D31">
                  <w:pPr>
                    <w:rPr>
                      <w:rFonts w:eastAsia="Times New Roman"/>
                    </w:rPr>
                  </w:pPr>
                </w:p>
                <w:tbl>
                  <w:tblPr>
                    <w:tblW w:w="9000" w:type="dxa"/>
                    <w:jc w:val="center"/>
                    <w:tblCellSpacing w:w="0" w:type="dxa"/>
                    <w:tblCellMar>
                      <w:left w:w="0" w:type="dxa"/>
                      <w:right w:w="0" w:type="dxa"/>
                    </w:tblCellMar>
                    <w:tblLook w:val="04A0"/>
                  </w:tblPr>
                  <w:tblGrid>
                    <w:gridCol w:w="9000"/>
                  </w:tblGrid>
                  <w:tr w:rsidR="00CF2D31">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CF2D31">
                          <w:trPr>
                            <w:tblCellSpacing w:w="0" w:type="dxa"/>
                          </w:trPr>
                          <w:tc>
                            <w:tcPr>
                              <w:tcW w:w="0" w:type="auto"/>
                              <w:shd w:val="clear" w:color="auto" w:fill="0018A8"/>
                              <w:tcMar>
                                <w:top w:w="0" w:type="dxa"/>
                                <w:left w:w="225" w:type="dxa"/>
                                <w:bottom w:w="0" w:type="dxa"/>
                                <w:right w:w="225" w:type="dxa"/>
                              </w:tcMar>
                              <w:vAlign w:val="center"/>
                              <w:hideMark/>
                            </w:tcPr>
                            <w:p w:rsidR="00CF2D31" w:rsidRDefault="00CF2D31">
                              <w:pPr>
                                <w:pStyle w:val="Titre2"/>
                                <w:rPr>
                                  <w:rFonts w:eastAsia="Times New Roman"/>
                                  <w:color w:val="FFFFFF"/>
                                </w:rPr>
                              </w:pPr>
                              <w:r>
                                <w:rPr>
                                  <w:rFonts w:eastAsia="Times New Roman"/>
                                  <w:color w:val="FFFFFF"/>
                                </w:rPr>
                                <w:t xml:space="preserve">Envoi par mail de la liste des emplacements de </w:t>
                              </w:r>
                              <w:proofErr w:type="spellStart"/>
                              <w:r>
                                <w:rPr>
                                  <w:rFonts w:eastAsia="Times New Roman"/>
                                  <w:color w:val="FFFFFF"/>
                                </w:rPr>
                                <w:t>bancomats</w:t>
                              </w:r>
                              <w:proofErr w:type="spellEnd"/>
                              <w:r>
                                <w:rPr>
                                  <w:rFonts w:eastAsia="Times New Roman"/>
                                  <w:color w:val="FFFFFF"/>
                                </w:rPr>
                                <w:t xml:space="preserve"> et </w:t>
                              </w:r>
                              <w:proofErr w:type="spellStart"/>
                              <w:r>
                                <w:rPr>
                                  <w:rFonts w:eastAsia="Times New Roman"/>
                                  <w:color w:val="FFFFFF"/>
                                </w:rPr>
                                <w:t>postomats</w:t>
                              </w:r>
                              <w:proofErr w:type="spellEnd"/>
                              <w:r>
                                <w:rPr>
                                  <w:rFonts w:eastAsia="Times New Roman"/>
                                  <w:color w:val="FFFFFF"/>
                                </w:rPr>
                                <w:t xml:space="preserve"> avec synthèse vocale </w:t>
                              </w:r>
                            </w:p>
                          </w:tc>
                        </w:tr>
                      </w:tbl>
                      <w:p w:rsidR="00CF2D31" w:rsidRDefault="00CF2D31">
                        <w:pPr>
                          <w:rPr>
                            <w:rFonts w:eastAsia="Times New Roman"/>
                            <w:sz w:val="20"/>
                            <w:szCs w:val="20"/>
                          </w:rPr>
                        </w:pPr>
                      </w:p>
                    </w:tc>
                  </w:tr>
                  <w:tr w:rsidR="00CF2D31">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CF2D31">
                          <w:tc>
                            <w:tcPr>
                              <w:tcW w:w="5000" w:type="pct"/>
                              <w:hideMark/>
                            </w:tcPr>
                            <w:p w:rsidR="00CF2D31" w:rsidRDefault="00CF2D31">
                              <w:pPr>
                                <w:rPr>
                                  <w:rFonts w:eastAsia="Times New Roman"/>
                                </w:rPr>
                              </w:pPr>
                              <w:r>
                                <w:rPr>
                                  <w:rFonts w:eastAsia="Times New Roman"/>
                                </w:rPr>
                                <w:t xml:space="preserve">Vous souhaitez être informé des emplacements de </w:t>
                              </w:r>
                              <w:proofErr w:type="spellStart"/>
                              <w:r>
                                <w:rPr>
                                  <w:rFonts w:eastAsia="Times New Roman"/>
                                </w:rPr>
                                <w:t>bancomats</w:t>
                              </w:r>
                              <w:proofErr w:type="spellEnd"/>
                              <w:r>
                                <w:rPr>
                                  <w:rFonts w:eastAsia="Times New Roman"/>
                                </w:rPr>
                                <w:t xml:space="preserve"> et </w:t>
                              </w:r>
                              <w:proofErr w:type="spellStart"/>
                              <w:r>
                                <w:rPr>
                                  <w:rFonts w:eastAsia="Times New Roman"/>
                                </w:rPr>
                                <w:t>postomats</w:t>
                              </w:r>
                              <w:proofErr w:type="spellEnd"/>
                              <w:r>
                                <w:rPr>
                                  <w:rFonts w:eastAsia="Times New Roman"/>
                                </w:rPr>
                                <w:t xml:space="preserve"> équipés d’un système de synthèse vocale? La FSA propose à ses membres et d’autres intéressés la possibilité d’obtenir une liste de tous les emplacements de distributeurs en Suisse.</w:t>
                              </w:r>
                            </w:p>
                            <w:p w:rsidR="00CF2D31" w:rsidRDefault="00CF2D31">
                              <w:pPr>
                                <w:numPr>
                                  <w:ilvl w:val="0"/>
                                  <w:numId w:val="6"/>
                                </w:numPr>
                                <w:spacing w:before="100" w:beforeAutospacing="1" w:after="100" w:afterAutospacing="1"/>
                                <w:rPr>
                                  <w:rFonts w:eastAsia="Times New Roman"/>
                                </w:rPr>
                              </w:pPr>
                              <w:hyperlink r:id="rId17" w:tooltip="Envoi par mail de la liste des emplacements de bancomats et postomats avec synthèse vocale" w:history="1">
                                <w:r>
                                  <w:rPr>
                                    <w:rStyle w:val="Lienhypertexte"/>
                                    <w:rFonts w:eastAsia="Times New Roman"/>
                                  </w:rPr>
                                  <w:t>En savoir plus</w:t>
                                </w:r>
                                <w:r>
                                  <w:rPr>
                                    <w:rStyle w:val="visually-hidden"/>
                                    <w:rFonts w:eastAsia="Times New Roman"/>
                                    <w:color w:val="0000FF"/>
                                  </w:rPr>
                                  <w:t xml:space="preserve"> sur Envoi par mail de la liste des emplacements de </w:t>
                                </w:r>
                                <w:proofErr w:type="spellStart"/>
                                <w:r>
                                  <w:rPr>
                                    <w:rStyle w:val="visually-hidden"/>
                                    <w:rFonts w:eastAsia="Times New Roman"/>
                                    <w:color w:val="0000FF"/>
                                  </w:rPr>
                                  <w:t>bancomats</w:t>
                                </w:r>
                                <w:proofErr w:type="spellEnd"/>
                                <w:r>
                                  <w:rPr>
                                    <w:rStyle w:val="visually-hidden"/>
                                    <w:rFonts w:eastAsia="Times New Roman"/>
                                    <w:color w:val="0000FF"/>
                                  </w:rPr>
                                  <w:t xml:space="preserve"> et </w:t>
                                </w:r>
                                <w:proofErr w:type="spellStart"/>
                                <w:r>
                                  <w:rPr>
                                    <w:rStyle w:val="visually-hidden"/>
                                    <w:rFonts w:eastAsia="Times New Roman"/>
                                    <w:color w:val="0000FF"/>
                                  </w:rPr>
                                  <w:t>postomats</w:t>
                                </w:r>
                                <w:proofErr w:type="spellEnd"/>
                                <w:r>
                                  <w:rPr>
                                    <w:rStyle w:val="visually-hidden"/>
                                    <w:rFonts w:eastAsia="Times New Roman"/>
                                    <w:color w:val="0000FF"/>
                                  </w:rPr>
                                  <w:t xml:space="preserve"> avec synthèse vocale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CF2D31">
                          <w:trPr>
                            <w:trHeight w:val="240"/>
                            <w:tblCellSpacing w:w="0" w:type="dxa"/>
                          </w:trPr>
                          <w:tc>
                            <w:tcPr>
                              <w:tcW w:w="5000" w:type="pct"/>
                              <w:vAlign w:val="center"/>
                              <w:hideMark/>
                            </w:tcPr>
                            <w:p w:rsidR="00CF2D31" w:rsidRDefault="00CF2D31">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CF2D31">
                          <w:tc>
                            <w:tcPr>
                              <w:tcW w:w="5000" w:type="pct"/>
                              <w:vAlign w:val="center"/>
                              <w:hideMark/>
                            </w:tcPr>
                            <w:p w:rsidR="00CF2D31" w:rsidRDefault="00CF2D31">
                              <w:pPr>
                                <w:rPr>
                                  <w:rFonts w:eastAsia="Times New Roman"/>
                                </w:rPr>
                              </w:pPr>
                              <w:r>
                                <w:rPr>
                                  <w:rFonts w:eastAsia="Times New Roman"/>
                                  <w:noProof/>
                                  <w:color w:val="0000FF"/>
                                </w:rPr>
                                <w:drawing>
                                  <wp:inline distT="0" distB="0" distL="0" distR="0">
                                    <wp:extent cx="2194560" cy="1226820"/>
                                    <wp:effectExtent l="19050" t="0" r="0" b="0"/>
                                    <wp:docPr id="7" name="Image 7" descr="Une femme utilise un bancoma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 femme utilise un bancomat."/>
                                            <pic:cNvPicPr>
                                              <a:picLocks noChangeAspect="1" noChangeArrowheads="1"/>
                                            </pic:cNvPicPr>
                                          </pic:nvPicPr>
                                          <pic:blipFill>
                                            <a:blip r:embed="rId18"/>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CF2D31" w:rsidRDefault="00CF2D31">
                        <w:pPr>
                          <w:rPr>
                            <w:rFonts w:eastAsia="Times New Roman"/>
                            <w:sz w:val="20"/>
                            <w:szCs w:val="20"/>
                          </w:rPr>
                        </w:pPr>
                      </w:p>
                    </w:tc>
                  </w:tr>
                </w:tbl>
                <w:p w:rsidR="00CF2D31" w:rsidRDefault="00CF2D31">
                  <w:pPr>
                    <w:rPr>
                      <w:rFonts w:eastAsia="Times New Roman"/>
                      <w:vanish/>
                    </w:rPr>
                  </w:pPr>
                </w:p>
                <w:tbl>
                  <w:tblPr>
                    <w:tblW w:w="5000" w:type="pct"/>
                    <w:tblCellSpacing w:w="0" w:type="dxa"/>
                    <w:tblCellMar>
                      <w:top w:w="150" w:type="dxa"/>
                      <w:left w:w="0" w:type="dxa"/>
                      <w:right w:w="0" w:type="dxa"/>
                    </w:tblCellMar>
                    <w:tblLook w:val="04A0"/>
                  </w:tblPr>
                  <w:tblGrid>
                    <w:gridCol w:w="9072"/>
                  </w:tblGrid>
                  <w:tr w:rsidR="00CF2D31">
                    <w:trPr>
                      <w:tblCellSpacing w:w="0" w:type="dxa"/>
                    </w:trPr>
                    <w:tc>
                      <w:tcPr>
                        <w:tcW w:w="0" w:type="auto"/>
                        <w:vAlign w:val="center"/>
                        <w:hideMark/>
                      </w:tcPr>
                      <w:p w:rsidR="00CF2D31" w:rsidRDefault="00CF2D31">
                        <w:pPr>
                          <w:rPr>
                            <w:rFonts w:eastAsia="Times New Roman"/>
                            <w:sz w:val="20"/>
                            <w:szCs w:val="20"/>
                          </w:rPr>
                        </w:pPr>
                      </w:p>
                    </w:tc>
                  </w:tr>
                </w:tbl>
                <w:p w:rsidR="00CF2D31" w:rsidRDefault="00CF2D31">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CF2D31">
                    <w:trPr>
                      <w:tblCellSpacing w:w="0" w:type="dxa"/>
                    </w:trPr>
                    <w:tc>
                      <w:tcPr>
                        <w:tcW w:w="0" w:type="auto"/>
                        <w:shd w:val="clear" w:color="auto" w:fill="0018A8"/>
                        <w:vAlign w:val="center"/>
                        <w:hideMark/>
                      </w:tcPr>
                      <w:p w:rsidR="00CF2D31" w:rsidRDefault="00CF2D31">
                        <w:pPr>
                          <w:pStyle w:val="NormalWeb"/>
                          <w:rPr>
                            <w:color w:val="FFFFFF"/>
                            <w:lang w:val="fr-CH"/>
                          </w:rPr>
                        </w:pPr>
                        <w:r>
                          <w:rPr>
                            <w:color w:val="FFFFFF"/>
                            <w:lang w:val="fr-CH"/>
                          </w:rPr>
                          <w:lastRenderedPageBreak/>
                          <w:t xml:space="preserve">La FSA est titulaire du label de qualité </w:t>
                        </w:r>
                        <w:proofErr w:type="spellStart"/>
                        <w:r>
                          <w:rPr>
                            <w:color w:val="FFFFFF"/>
                            <w:lang w:val="fr-CH"/>
                          </w:rPr>
                          <w:t>Zewo</w:t>
                        </w:r>
                        <w:proofErr w:type="spellEnd"/>
                        <w:r>
                          <w:rPr>
                            <w:color w:val="FFFFFF"/>
                            <w:lang w:val="fr-CH"/>
                          </w:rPr>
                          <w:t xml:space="preserve"> </w:t>
                        </w:r>
                        <w:r>
                          <w:rPr>
                            <w:noProof/>
                            <w:color w:val="FFFFFF"/>
                          </w:rPr>
                          <w:drawing>
                            <wp:inline distT="0" distB="0" distL="0" distR="0">
                              <wp:extent cx="480060" cy="502920"/>
                              <wp:effectExtent l="19050" t="0" r="0" b="0"/>
                              <wp:docPr id="8" name="Image 8"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o Logo"/>
                                      <pic:cNvPicPr>
                                        <a:picLocks noChangeAspect="1" noChangeArrowheads="1"/>
                                      </pic:cNvPicPr>
                                    </pic:nvPicPr>
                                    <pic:blipFill>
                                      <a:blip r:embed="rId19"/>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CF2D31" w:rsidRDefault="00CF2D31">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0" w:history="1">
                          <w:r>
                            <w:rPr>
                              <w:rStyle w:val="Lienhypertexte"/>
                              <w:color w:val="FFFFFF"/>
                              <w:sz w:val="19"/>
                              <w:szCs w:val="19"/>
                            </w:rPr>
                            <w:t>désabonner</w:t>
                          </w:r>
                        </w:hyperlink>
                        <w:r>
                          <w:rPr>
                            <w:color w:val="FFFFFF"/>
                            <w:sz w:val="19"/>
                            <w:szCs w:val="19"/>
                          </w:rPr>
                          <w:t>.</w:t>
                        </w:r>
                      </w:p>
                    </w:tc>
                  </w:tr>
                </w:tbl>
                <w:p w:rsidR="00CF2D31" w:rsidRDefault="00CF2D31">
                  <w:pPr>
                    <w:rPr>
                      <w:rFonts w:eastAsia="Times New Roman"/>
                      <w:sz w:val="20"/>
                      <w:szCs w:val="20"/>
                    </w:rPr>
                  </w:pPr>
                </w:p>
              </w:tc>
            </w:tr>
          </w:tbl>
          <w:p w:rsidR="00CF2D31" w:rsidRDefault="00CF2D31">
            <w:pPr>
              <w:jc w:val="center"/>
              <w:rPr>
                <w:rFonts w:eastAsia="Times New Roman"/>
                <w:sz w:val="20"/>
                <w:szCs w:val="20"/>
              </w:rPr>
            </w:pPr>
          </w:p>
        </w:tc>
      </w:tr>
    </w:tbl>
    <w:p w:rsidR="00CF2D31" w:rsidRDefault="00CF2D31" w:rsidP="00CF2D31">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D13F3"/>
    <w:multiLevelType w:val="multilevel"/>
    <w:tmpl w:val="08DAE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3A7A16"/>
    <w:multiLevelType w:val="multilevel"/>
    <w:tmpl w:val="D2442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BE27D1"/>
    <w:multiLevelType w:val="multilevel"/>
    <w:tmpl w:val="84320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DC93D1F"/>
    <w:multiLevelType w:val="multilevel"/>
    <w:tmpl w:val="3C642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FE1790F"/>
    <w:multiLevelType w:val="multilevel"/>
    <w:tmpl w:val="F0548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000135"/>
    <w:multiLevelType w:val="multilevel"/>
    <w:tmpl w:val="094E4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D31"/>
    <w:rsid w:val="0017744C"/>
    <w:rsid w:val="00505CD5"/>
    <w:rsid w:val="00687751"/>
    <w:rsid w:val="00CF2D3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31"/>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CF2D31"/>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CF2D3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2D31"/>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2D31"/>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CF2D31"/>
    <w:rPr>
      <w:color w:val="0000FF"/>
      <w:u w:val="single"/>
    </w:rPr>
  </w:style>
  <w:style w:type="paragraph" w:styleId="NormalWeb">
    <w:name w:val="Normal (Web)"/>
    <w:basedOn w:val="Normal"/>
    <w:uiPriority w:val="99"/>
    <w:unhideWhenUsed/>
    <w:rsid w:val="00CF2D31"/>
    <w:pPr>
      <w:spacing w:before="100" w:beforeAutospacing="1" w:after="100" w:afterAutospacing="1"/>
    </w:pPr>
  </w:style>
  <w:style w:type="character" w:customStyle="1" w:styleId="visually-hidden">
    <w:name w:val="visually-hidden"/>
    <w:basedOn w:val="Policepardfaut"/>
    <w:rsid w:val="00CF2D31"/>
  </w:style>
  <w:style w:type="paragraph" w:styleId="Textedebulles">
    <w:name w:val="Balloon Text"/>
    <w:basedOn w:val="Normal"/>
    <w:link w:val="TextedebullesCar"/>
    <w:uiPriority w:val="99"/>
    <w:semiHidden/>
    <w:unhideWhenUsed/>
    <w:rsid w:val="00CF2D31"/>
    <w:rPr>
      <w:rFonts w:ascii="Tahoma" w:hAnsi="Tahoma" w:cs="Tahoma"/>
      <w:sz w:val="16"/>
      <w:szCs w:val="16"/>
    </w:rPr>
  </w:style>
  <w:style w:type="character" w:customStyle="1" w:styleId="TextedebullesCar">
    <w:name w:val="Texte de bulles Car"/>
    <w:basedOn w:val="Policepardfaut"/>
    <w:link w:val="Textedebulles"/>
    <w:uiPriority w:val="99"/>
    <w:semiHidden/>
    <w:rsid w:val="00CF2D3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30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bv-fsa.ch/fr/newsletter/journee-de-la-canne-blanche-les-sections-de-la-fsa-sont-au-rendez-vous"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bv-fsa.ch/fr/newsletter/nos-candidates-et-candidats-aux-elections-2023" TargetMode="External"/><Relationship Id="rId12" Type="http://schemas.openxmlformats.org/officeDocument/2006/relationships/image" Target="media/image4.jpeg"/><Relationship Id="rId17" Type="http://schemas.openxmlformats.org/officeDocument/2006/relationships/hyperlink" Target="https://www.sbv-fsa.ch/fr/newsletter/envoi-par-mail-de-la-liste-des-emplacements-de-bancomats-et-postomats-avec-synthes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sbv-fsa.ch/fr/newsletter/confirm/remove/9231/newsletter_fsa_fr/1695956401/4wwsnxYGq9arrKRPKU7IWfY_ADnW4f06uXH1f9ziA1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bv-fsa.ch/fr/newsletter/bonnes-nouvelles-de-berne-la-mise-en-oeuvre-de-deux-mo-tions-demandant-laccessibilite" TargetMode="External"/><Relationship Id="rId5" Type="http://schemas.openxmlformats.org/officeDocument/2006/relationships/hyperlink" Target="www.sbv-fsa.ch" TargetMode="External"/><Relationship Id="rId15" Type="http://schemas.openxmlformats.org/officeDocument/2006/relationships/hyperlink" Target="https://www.sbv-fsa.ch/fr/newsletter/manifestation-lausanne-pour-lintroduction-rapide-du-vote-electronique-dans-toute-la"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sbv-fsa.ch/fr/newsletter/initiative-pour-linclusion-le-cap-des-50000-signatures-ete-franchi-et-maintenant"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5513</Characters>
  <Application>Microsoft Office Word</Application>
  <DocSecurity>0</DocSecurity>
  <Lines>45</Lines>
  <Paragraphs>13</Paragraphs>
  <ScaleCrop>false</ScaleCrop>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2023-09-30T08:00:00Z</dcterms:created>
  <dcterms:modified xsi:type="dcterms:W3CDTF">2023-09-30T08:01:00Z</dcterms:modified>
</cp:coreProperties>
</file>