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EB" w:rsidRDefault="00CC34EB" w:rsidP="00CC34EB">
      <w:pPr>
        <w:rPr>
          <w:rFonts w:eastAsia="Times New Roman"/>
          <w:lang w:val="en-US"/>
        </w:rPr>
      </w:pPr>
    </w:p>
    <w:tbl>
      <w:tblPr>
        <w:tblW w:w="5000" w:type="pct"/>
        <w:shd w:val="clear" w:color="auto" w:fill="FFFFFF"/>
        <w:tblCellMar>
          <w:left w:w="0" w:type="dxa"/>
          <w:right w:w="0" w:type="dxa"/>
        </w:tblCellMar>
        <w:tblLook w:val="04A0"/>
      </w:tblPr>
      <w:tblGrid>
        <w:gridCol w:w="9072"/>
      </w:tblGrid>
      <w:tr w:rsidR="00CC34EB" w:rsidTr="00CC34EB">
        <w:tc>
          <w:tcPr>
            <w:tcW w:w="0" w:type="auto"/>
            <w:shd w:val="clear" w:color="auto" w:fill="FFFFFF"/>
            <w:vAlign w:val="center"/>
          </w:tcPr>
          <w:tbl>
            <w:tblPr>
              <w:tblW w:w="9000" w:type="dxa"/>
              <w:jc w:val="center"/>
              <w:tblCellMar>
                <w:left w:w="0" w:type="dxa"/>
                <w:right w:w="0" w:type="dxa"/>
              </w:tblCellMar>
              <w:tblLook w:val="04A0"/>
            </w:tblPr>
            <w:tblGrid>
              <w:gridCol w:w="9030"/>
            </w:tblGrid>
            <w:tr w:rsidR="00CC34EB">
              <w:trPr>
                <w:jc w:val="center"/>
              </w:trPr>
              <w:tc>
                <w:tcPr>
                  <w:tcW w:w="0" w:type="auto"/>
                  <w:shd w:val="clear" w:color="auto" w:fill="FFFFFF"/>
                </w:tcPr>
                <w:tbl>
                  <w:tblPr>
                    <w:tblW w:w="5000" w:type="pct"/>
                    <w:jc w:val="center"/>
                    <w:tblCellMar>
                      <w:left w:w="0" w:type="dxa"/>
                      <w:right w:w="0" w:type="dxa"/>
                    </w:tblCellMar>
                    <w:tblLook w:val="04A0"/>
                  </w:tblPr>
                  <w:tblGrid>
                    <w:gridCol w:w="9030"/>
                  </w:tblGrid>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CC34EB">
                          <w:tc>
                            <w:tcPr>
                              <w:tcW w:w="5000" w:type="pct"/>
                              <w:hideMark/>
                            </w:tcPr>
                            <w:tbl>
                              <w:tblPr>
                                <w:tblW w:w="9000" w:type="dxa"/>
                                <w:tblCellMar>
                                  <w:left w:w="0" w:type="dxa"/>
                                  <w:right w:w="0" w:type="dxa"/>
                                </w:tblCellMar>
                                <w:tblLook w:val="04A0"/>
                              </w:tblPr>
                              <w:tblGrid>
                                <w:gridCol w:w="9000"/>
                              </w:tblGrid>
                              <w:tr w:rsidR="00CC34EB">
                                <w:tc>
                                  <w:tcPr>
                                    <w:tcW w:w="0" w:type="auto"/>
                                    <w:vAlign w:val="center"/>
                                    <w:hideMark/>
                                  </w:tcPr>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30"/>
                  </w:tblGrid>
                  <w:tr w:rsidR="00CC34EB">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30"/>
                        </w:tblGrid>
                        <w:tr w:rsidR="00CC34EB">
                          <w:tc>
                            <w:tcPr>
                              <w:tcW w:w="5000" w:type="pct"/>
                              <w:hideMark/>
                            </w:tcPr>
                            <w:tbl>
                              <w:tblPr>
                                <w:tblpPr w:vertAnchor="text"/>
                                <w:tblW w:w="3750" w:type="dxa"/>
                                <w:tblCellMar>
                                  <w:left w:w="0" w:type="dxa"/>
                                  <w:right w:w="0" w:type="dxa"/>
                                </w:tblCellMar>
                                <w:tblLook w:val="04A0"/>
                              </w:tblPr>
                              <w:tblGrid>
                                <w:gridCol w:w="3782"/>
                              </w:tblGrid>
                              <w:tr w:rsidR="00CC34EB">
                                <w:tc>
                                  <w:tcPr>
                                    <w:tcW w:w="0" w:type="auto"/>
                                    <w:vAlign w:val="center"/>
                                    <w:hideMark/>
                                  </w:tcPr>
                                  <w:p w:rsidR="00CC34EB" w:rsidRDefault="00CC34EB">
                                    <w:pPr>
                                      <w:rPr>
                                        <w:rFonts w:eastAsia="Times New Roman"/>
                                      </w:rPr>
                                    </w:pPr>
                                    <w:r>
                                      <w:rPr>
                                        <w:rFonts w:eastAsia="Times New Roman"/>
                                        <w:noProof/>
                                      </w:rPr>
                                      <w:drawing>
                                        <wp:inline distT="0" distB="0" distL="0" distR="0">
                                          <wp:extent cx="2382520" cy="657860"/>
                                          <wp:effectExtent l="19050" t="0" r="0"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82520" cy="657860"/>
                                                  </a:xfrm>
                                                  <a:prstGeom prst="rect">
                                                    <a:avLst/>
                                                  </a:prstGeom>
                                                  <a:noFill/>
                                                  <a:ln w="9525">
                                                    <a:noFill/>
                                                    <a:miter lim="800000"/>
                                                    <a:headEnd/>
                                                    <a:tailEnd/>
                                                  </a:ln>
                                                </pic:spPr>
                                              </pic:pic>
                                            </a:graphicData>
                                          </a:graphic>
                                        </wp:inline>
                                      </w:drawing>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30"/>
                  </w:tblGrid>
                  <w:tr w:rsidR="00CC34EB">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30"/>
                        </w:tblGrid>
                        <w:tr w:rsidR="00CC34EB">
                          <w:tc>
                            <w:tcPr>
                              <w:tcW w:w="5000" w:type="pct"/>
                              <w:hideMark/>
                            </w:tcPr>
                            <w:tbl>
                              <w:tblPr>
                                <w:tblW w:w="5000" w:type="pct"/>
                                <w:tblCellMar>
                                  <w:left w:w="0" w:type="dxa"/>
                                  <w:right w:w="0" w:type="dxa"/>
                                </w:tblCellMar>
                                <w:tblLook w:val="04A0"/>
                              </w:tblPr>
                              <w:tblGrid>
                                <w:gridCol w:w="9030"/>
                              </w:tblGrid>
                              <w:tr w:rsidR="00CC34EB">
                                <w:tc>
                                  <w:tcPr>
                                    <w:tcW w:w="0" w:type="auto"/>
                                    <w:hideMark/>
                                  </w:tcPr>
                                  <w:tbl>
                                    <w:tblPr>
                                      <w:tblW w:w="5000" w:type="pct"/>
                                      <w:tblCellMar>
                                        <w:left w:w="0" w:type="dxa"/>
                                        <w:right w:w="0" w:type="dxa"/>
                                      </w:tblCellMar>
                                      <w:tblLook w:val="04A0"/>
                                    </w:tblPr>
                                    <w:tblGrid>
                                      <w:gridCol w:w="9030"/>
                                    </w:tblGrid>
                                    <w:tr w:rsidR="00CC34EB">
                                      <w:tc>
                                        <w:tcPr>
                                          <w:tcW w:w="0" w:type="auto"/>
                                          <w:vAlign w:val="center"/>
                                          <w:hideMark/>
                                        </w:tcPr>
                                        <w:tbl>
                                          <w:tblPr>
                                            <w:tblW w:w="9000" w:type="dxa"/>
                                            <w:jc w:val="center"/>
                                            <w:tblCellMar>
                                              <w:left w:w="0" w:type="dxa"/>
                                              <w:right w:w="0" w:type="dxa"/>
                                            </w:tblCellMar>
                                            <w:tblLook w:val="04A0"/>
                                          </w:tblPr>
                                          <w:tblGrid>
                                            <w:gridCol w:w="9030"/>
                                          </w:tblGrid>
                                          <w:tr w:rsidR="00CC34EB">
                                            <w:trPr>
                                              <w:jc w:val="center"/>
                                            </w:trPr>
                                            <w:tc>
                                              <w:tcPr>
                                                <w:tcW w:w="0" w:type="auto"/>
                                                <w:vAlign w:val="center"/>
                                                <w:hideMark/>
                                              </w:tcPr>
                                              <w:p w:rsidR="00CC34EB" w:rsidRDefault="00CC34EB">
                                                <w:pPr>
                                                  <w:spacing w:after="180"/>
                                                  <w:rPr>
                                                    <w:rFonts w:eastAsia="Times New Roman"/>
                                                  </w:rPr>
                                                </w:pPr>
                                                <w:r>
                                                  <w:rPr>
                                                    <w:rFonts w:eastAsia="Times New Roman"/>
                                                    <w:noProof/>
                                                  </w:rPr>
                                                  <w:drawing>
                                                    <wp:inline distT="0" distB="0" distL="0" distR="0">
                                                      <wp:extent cx="5715000" cy="3208655"/>
                                                      <wp:effectExtent l="19050" t="0" r="0" b="0"/>
                                                      <wp:docPr id="2" name="Image 2" descr="Direction générale de la SSR vue de l'ext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 générale de la SSR vue de l'extérieur."/>
                                                              <pic:cNvPicPr>
                                                                <a:picLocks noChangeAspect="1" noChangeArrowheads="1"/>
                                                              </pic:cNvPicPr>
                                                            </pic:nvPicPr>
                                                            <pic:blipFill>
                                                              <a:blip r:embed="rId6"/>
                                                              <a:srcRect/>
                                                              <a:stretch>
                                                                <a:fillRect/>
                                                              </a:stretch>
                                                            </pic:blipFill>
                                                            <pic:spPr bwMode="auto">
                                                              <a:xfrm>
                                                                <a:off x="0" y="0"/>
                                                                <a:ext cx="5715000" cy="3208655"/>
                                                              </a:xfrm>
                                                              <a:prstGeom prst="rect">
                                                                <a:avLst/>
                                                              </a:prstGeom>
                                                              <a:noFill/>
                                                              <a:ln w="9525">
                                                                <a:noFill/>
                                                                <a:miter lim="800000"/>
                                                                <a:headEnd/>
                                                                <a:tailEnd/>
                                                              </a:ln>
                                                            </pic:spPr>
                                                          </pic:pic>
                                                        </a:graphicData>
                                                      </a:graphic>
                                                    </wp:inline>
                                                  </w:drawing>
                                                </w:r>
                                              </w:p>
                                            </w:tc>
                                          </w:tr>
                                        </w:tbl>
                                        <w:p w:rsidR="00CC34EB" w:rsidRDefault="00CC34EB">
                                          <w:pPr>
                                            <w:jc w:val="center"/>
                                            <w:rPr>
                                              <w:rFonts w:eastAsia="Times New Roman"/>
                                              <w:color w:val="auto"/>
                                              <w:sz w:val="20"/>
                                              <w:szCs w:val="20"/>
                                            </w:rPr>
                                          </w:pPr>
                                        </w:p>
                                      </w:tc>
                                    </w:tr>
                                    <w:tr w:rsidR="00CC34EB">
                                      <w:tc>
                                        <w:tcPr>
                                          <w:tcW w:w="0" w:type="auto"/>
                                          <w:tcMar>
                                            <w:top w:w="225" w:type="dxa"/>
                                            <w:left w:w="0" w:type="dxa"/>
                                            <w:bottom w:w="0" w:type="dxa"/>
                                            <w:right w:w="0" w:type="dxa"/>
                                          </w:tcMar>
                                          <w:vAlign w:val="center"/>
                                          <w:hideMark/>
                                        </w:tcPr>
                                        <w:p w:rsidR="00CC34EB" w:rsidRDefault="00CC34EB">
                                          <w:pPr>
                                            <w:pStyle w:val="Titre1"/>
                                            <w:rPr>
                                              <w:rFonts w:ascii="Verdana" w:eastAsia="Times New Roman" w:hAnsi="Verdana"/>
                                              <w:sz w:val="63"/>
                                              <w:szCs w:val="63"/>
                                            </w:rPr>
                                          </w:pPr>
                                          <w:r>
                                            <w:rPr>
                                              <w:rFonts w:ascii="Verdana" w:eastAsia="Times New Roman" w:hAnsi="Verdana"/>
                                              <w:sz w:val="63"/>
                                              <w:szCs w:val="63"/>
                                            </w:rPr>
                                            <w:t xml:space="preserve">Non à l’initiative </w:t>
                                          </w:r>
                                          <w:proofErr w:type="spellStart"/>
                                          <w:r>
                                            <w:rPr>
                                              <w:rFonts w:ascii="Verdana" w:eastAsia="Times New Roman" w:hAnsi="Verdana"/>
                                              <w:sz w:val="63"/>
                                              <w:szCs w:val="63"/>
                                            </w:rPr>
                                            <w:t>SSR</w:t>
                                          </w:r>
                                          <w:proofErr w:type="spellEnd"/>
                                          <w:r>
                                            <w:rPr>
                                              <w:rFonts w:ascii="Verdana" w:eastAsia="Times New Roman" w:hAnsi="Verdana"/>
                                              <w:sz w:val="63"/>
                                              <w:szCs w:val="63"/>
                                            </w:rPr>
                                            <w:t xml:space="preserve">: sept raisons importantes du point de vue de la </w:t>
                                          </w:r>
                                          <w:proofErr w:type="spellStart"/>
                                          <w:r>
                                            <w:rPr>
                                              <w:rFonts w:ascii="Verdana" w:eastAsia="Times New Roman" w:hAnsi="Verdana"/>
                                              <w:sz w:val="63"/>
                                              <w:szCs w:val="63"/>
                                            </w:rPr>
                                            <w:t>fsa</w:t>
                                          </w:r>
                                          <w:proofErr w:type="spellEnd"/>
                                        </w:p>
                                        <w:p w:rsidR="00CC34EB" w:rsidRDefault="00CC34EB">
                                          <w:pPr>
                                            <w:pStyle w:val="NormalWeb"/>
                                            <w:rPr>
                                              <w:rFonts w:ascii="Verdana" w:hAnsi="Verdana"/>
                                              <w:sz w:val="30"/>
                                              <w:szCs w:val="30"/>
                                            </w:rPr>
                                          </w:pPr>
                                          <w:r>
                                            <w:rPr>
                                              <w:rFonts w:ascii="Verdana" w:hAnsi="Verdana"/>
                                              <w:sz w:val="30"/>
                                              <w:szCs w:val="30"/>
                                            </w:rPr>
                                            <w:t> </w:t>
                                          </w:r>
                                        </w:p>
                                      </w:tc>
                                    </w:tr>
                                    <w:tr w:rsidR="00CC34EB">
                                      <w:tc>
                                        <w:tcPr>
                                          <w:tcW w:w="0" w:type="auto"/>
                                          <w:tcMar>
                                            <w:top w:w="0" w:type="dxa"/>
                                            <w:left w:w="0" w:type="dxa"/>
                                            <w:bottom w:w="225" w:type="dxa"/>
                                            <w:right w:w="0" w:type="dxa"/>
                                          </w:tcMar>
                                          <w:vAlign w:val="center"/>
                                        </w:tcPr>
                                        <w:p w:rsidR="00CC34EB" w:rsidRDefault="00CC34EB">
                                          <w:pPr>
                                            <w:pStyle w:val="NormalWeb"/>
                                            <w:spacing w:after="300"/>
                                            <w:rPr>
                                              <w:rFonts w:ascii="Verdana" w:hAnsi="Verdana"/>
                                              <w:sz w:val="30"/>
                                              <w:szCs w:val="30"/>
                                            </w:rPr>
                                          </w:pPr>
                                          <w:r>
                                            <w:rPr>
                                              <w:rFonts w:ascii="Verdana" w:hAnsi="Verdana"/>
                                              <w:sz w:val="30"/>
                                              <w:szCs w:val="30"/>
                                            </w:rPr>
                                            <w:t xml:space="preserve">Bonjour, </w:t>
                                          </w:r>
                                        </w:p>
                                        <w:p w:rsidR="00CC34EB" w:rsidRDefault="00CC34EB">
                                          <w:pPr>
                                            <w:pStyle w:val="default"/>
                                            <w:rPr>
                                              <w:rFonts w:ascii="Verdana" w:hAnsi="Verdana"/>
                                              <w:sz w:val="30"/>
                                              <w:szCs w:val="30"/>
                                            </w:rPr>
                                          </w:pPr>
                                          <w:r>
                                            <w:rPr>
                                              <w:rFonts w:ascii="Verdana" w:hAnsi="Verdana"/>
                                              <w:sz w:val="30"/>
                                              <w:szCs w:val="30"/>
                                            </w:rPr>
                                            <w:t xml:space="preserve">À l’approche de la votation fédérale sur l’initiative «200 francs, ça suffit!», nous montrons dans cette newsletter pourquoi un service public médiatique fort est indispensable pour les personnes aveugles et malvoyantes. Au vu de cette importance, la </w:t>
                                          </w:r>
                                          <w:proofErr w:type="spellStart"/>
                                          <w:r>
                                            <w:rPr>
                                              <w:rFonts w:ascii="Verdana" w:hAnsi="Verdana"/>
                                              <w:sz w:val="30"/>
                                              <w:szCs w:val="30"/>
                                            </w:rPr>
                                            <w:t>fsa</w:t>
                                          </w:r>
                                          <w:proofErr w:type="spellEnd"/>
                                          <w:r>
                                            <w:rPr>
                                              <w:rFonts w:ascii="Verdana" w:hAnsi="Verdana"/>
                                              <w:sz w:val="30"/>
                                              <w:szCs w:val="30"/>
                                            </w:rPr>
                                            <w:t xml:space="preserve"> a préparé un catalogue d’arguments pour un NON à cette initiative.</w:t>
                                          </w:r>
                                        </w:p>
                                        <w:p w:rsidR="00CC34EB" w:rsidRDefault="00CC34EB">
                                          <w:pPr>
                                            <w:pStyle w:val="default"/>
                                            <w:rPr>
                                              <w:rFonts w:ascii="Verdana" w:hAnsi="Verdana"/>
                                              <w:sz w:val="30"/>
                                              <w:szCs w:val="30"/>
                                            </w:rPr>
                                          </w:pPr>
                                        </w:p>
                                        <w:p w:rsidR="00CC34EB" w:rsidRDefault="00CC34EB">
                                          <w:pPr>
                                            <w:pStyle w:val="default"/>
                                            <w:rPr>
                                              <w:rFonts w:ascii="Verdana" w:hAnsi="Verdana"/>
                                              <w:sz w:val="30"/>
                                              <w:szCs w:val="30"/>
                                            </w:rPr>
                                          </w:pPr>
                                          <w:r>
                                            <w:rPr>
                                              <w:rFonts w:ascii="Verdana" w:hAnsi="Verdana"/>
                                              <w:sz w:val="30"/>
                                              <w:szCs w:val="30"/>
                                            </w:rPr>
                                            <w:lastRenderedPageBreak/>
                                            <w:t xml:space="preserve">Par ailleurs, nous offrons à nos lecteurs et lectrices aveugles et malvoyant-e-s plusieurs occasions de s'impliquer: la Défense des intérêts de la </w:t>
                                          </w:r>
                                          <w:proofErr w:type="spellStart"/>
                                          <w:r>
                                            <w:rPr>
                                              <w:rFonts w:ascii="Verdana" w:hAnsi="Verdana"/>
                                              <w:sz w:val="30"/>
                                              <w:szCs w:val="30"/>
                                            </w:rPr>
                                            <w:t>fsa</w:t>
                                          </w:r>
                                          <w:proofErr w:type="spellEnd"/>
                                          <w:r>
                                            <w:rPr>
                                              <w:rFonts w:ascii="Verdana" w:hAnsi="Verdana"/>
                                              <w:sz w:val="30"/>
                                              <w:szCs w:val="30"/>
                                            </w:rPr>
                                            <w:t xml:space="preserve"> vous invite à nous faire part de vos expériences avec la déclaration d'impôt électronique, et notre service spécialisé T&amp;I cherche des personnes externes pour tester des sites web (contre rémunération). Par ailleurs, vous trouverez à la fin de cette newsletter l’enquête nationale de Pro </w:t>
                                          </w:r>
                                          <w:proofErr w:type="spellStart"/>
                                          <w:r>
                                            <w:rPr>
                                              <w:rFonts w:ascii="Verdana" w:hAnsi="Verdana"/>
                                              <w:sz w:val="30"/>
                                              <w:szCs w:val="30"/>
                                            </w:rPr>
                                            <w:t>Infirmis</w:t>
                                          </w:r>
                                          <w:proofErr w:type="spellEnd"/>
                                          <w:r>
                                            <w:rPr>
                                              <w:rFonts w:ascii="Verdana" w:hAnsi="Verdana"/>
                                              <w:sz w:val="30"/>
                                              <w:szCs w:val="30"/>
                                            </w:rPr>
                                            <w:t xml:space="preserve"> sur l'inclusion des personnes en situation de handicap en Suisse, à laquelle vous pouvez participer jusqu’au 14 février. Et bien entendu, vous trouverez à nouveau les dernières actualités de la Fédération et d’autres sujets sociétaux et culturels. </w:t>
                                          </w:r>
                                        </w:p>
                                        <w:p w:rsidR="00CC34EB" w:rsidRDefault="00CC34EB">
                                          <w:pPr>
                                            <w:pStyle w:val="default"/>
                                            <w:rPr>
                                              <w:rFonts w:ascii="Verdana" w:hAnsi="Verdana"/>
                                              <w:sz w:val="30"/>
                                              <w:szCs w:val="30"/>
                                            </w:rPr>
                                          </w:pPr>
                                        </w:p>
                                        <w:p w:rsidR="00CC34EB" w:rsidRDefault="00CC34EB">
                                          <w:pPr>
                                            <w:pStyle w:val="default"/>
                                            <w:rPr>
                                              <w:rFonts w:ascii="Verdana" w:hAnsi="Verdana"/>
                                              <w:sz w:val="30"/>
                                              <w:szCs w:val="30"/>
                                            </w:rPr>
                                          </w:pPr>
                                          <w:r>
                                            <w:rPr>
                                              <w:rFonts w:ascii="Verdana" w:hAnsi="Verdana"/>
                                              <w:sz w:val="30"/>
                                              <w:szCs w:val="30"/>
                                            </w:rPr>
                                            <w:t>Nous vous souhaitons bonne lecture et vous remercions d’avance pour votre intérêt et vos commentaires! </w:t>
                                          </w:r>
                                        </w:p>
                                        <w:p w:rsidR="00CC34EB" w:rsidRDefault="00CC34EB">
                                          <w:pPr>
                                            <w:pStyle w:val="default"/>
                                            <w:rPr>
                                              <w:rFonts w:ascii="Verdana" w:hAnsi="Verdana"/>
                                              <w:sz w:val="30"/>
                                              <w:szCs w:val="30"/>
                                            </w:rPr>
                                          </w:pPr>
                                        </w:p>
                                        <w:p w:rsidR="00CC34EB" w:rsidRDefault="00CC34EB">
                                          <w:pPr>
                                            <w:pStyle w:val="default"/>
                                            <w:rPr>
                                              <w:rFonts w:ascii="Verdana" w:hAnsi="Verdana"/>
                                              <w:sz w:val="30"/>
                                              <w:szCs w:val="30"/>
                                            </w:rPr>
                                          </w:pPr>
                                          <w:r>
                                            <w:rPr>
                                              <w:rFonts w:ascii="Verdana" w:hAnsi="Verdana"/>
                                              <w:sz w:val="30"/>
                                              <w:szCs w:val="30"/>
                                            </w:rPr>
                                            <w:t>Cordialement</w:t>
                                          </w:r>
                                        </w:p>
                                        <w:p w:rsidR="00CC34EB" w:rsidRDefault="00CC34EB">
                                          <w:pPr>
                                            <w:pStyle w:val="default"/>
                                            <w:rPr>
                                              <w:rFonts w:ascii="Verdana" w:hAnsi="Verdana"/>
                                              <w:sz w:val="30"/>
                                              <w:szCs w:val="30"/>
                                            </w:rPr>
                                          </w:pPr>
                                          <w:r>
                                            <w:rPr>
                                              <w:rFonts w:ascii="Verdana" w:hAnsi="Verdana"/>
                                              <w:sz w:val="30"/>
                                              <w:szCs w:val="30"/>
                                            </w:rPr>
                                            <w:t>L’équipe de rédaction</w:t>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30"/>
                  </w:tblGrid>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CC34EB">
                          <w:tc>
                            <w:tcPr>
                              <w:tcW w:w="5000" w:type="pct"/>
                              <w:hideMark/>
                            </w:tcPr>
                            <w:tbl>
                              <w:tblPr>
                                <w:tblW w:w="5000" w:type="pct"/>
                                <w:tblCellMar>
                                  <w:left w:w="0" w:type="dxa"/>
                                  <w:right w:w="0" w:type="dxa"/>
                                </w:tblCellMar>
                                <w:tblLook w:val="04A0"/>
                              </w:tblPr>
                              <w:tblGrid>
                                <w:gridCol w:w="9030"/>
                              </w:tblGrid>
                              <w:tr w:rsidR="00CC34EB">
                                <w:tc>
                                  <w:tcPr>
                                    <w:tcW w:w="0" w:type="auto"/>
                                    <w:hideMark/>
                                  </w:tcPr>
                                  <w:tbl>
                                    <w:tblPr>
                                      <w:tblW w:w="5000" w:type="pct"/>
                                      <w:tblCellMar>
                                        <w:left w:w="0" w:type="dxa"/>
                                        <w:right w:w="0" w:type="dxa"/>
                                      </w:tblCellMar>
                                      <w:tblLook w:val="04A0"/>
                                    </w:tblPr>
                                    <w:tblGrid>
                                      <w:gridCol w:w="9030"/>
                                    </w:tblGrid>
                                    <w:tr w:rsidR="00CC34EB">
                                      <w:tc>
                                        <w:tcPr>
                                          <w:tcW w:w="0" w:type="auto"/>
                                          <w:vAlign w:val="center"/>
                                          <w:hideMark/>
                                        </w:tcPr>
                                        <w:tbl>
                                          <w:tblPr>
                                            <w:tblW w:w="5000" w:type="pct"/>
                                            <w:tblCellMar>
                                              <w:left w:w="0" w:type="dxa"/>
                                              <w:right w:w="0" w:type="dxa"/>
                                            </w:tblCellMar>
                                            <w:tblLook w:val="04A0"/>
                                          </w:tblPr>
                                          <w:tblGrid>
                                            <w:gridCol w:w="9030"/>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42"/>
                                                    <w:szCs w:val="42"/>
                                                  </w:rPr>
                                                  <w:t xml:space="preserve">Non à l’initiative </w:t>
                                                </w:r>
                                                <w:proofErr w:type="spellStart"/>
                                                <w:r>
                                                  <w:rPr>
                                                    <w:rFonts w:ascii="Atkinson Hyperlegible" w:hAnsi="Atkinson Hyperlegible"/>
                                                    <w:sz w:val="42"/>
                                                    <w:szCs w:val="42"/>
                                                  </w:rPr>
                                                  <w:t>SSR</w:t>
                                                </w:r>
                                                <w:proofErr w:type="spellEnd"/>
                                                <w:r>
                                                  <w:rPr>
                                                    <w:rFonts w:ascii="Atkinson Hyperlegible" w:hAnsi="Atkinson Hyperlegible"/>
                                                    <w:sz w:val="42"/>
                                                    <w:szCs w:val="42"/>
                                                  </w:rPr>
                                                  <w:t xml:space="preserve">: sept raisons importantes du point de vue de la </w:t>
                                                </w:r>
                                                <w:proofErr w:type="spellStart"/>
                                                <w:r>
                                                  <w:rPr>
                                                    <w:rFonts w:ascii="Atkinson Hyperlegible" w:hAnsi="Atkinson Hyperlegible"/>
                                                    <w:sz w:val="42"/>
                                                    <w:szCs w:val="42"/>
                                                  </w:rPr>
                                                  <w:t>fsa</w:t>
                                                </w:r>
                                                <w:proofErr w:type="spellEnd"/>
                                              </w:p>
                                            </w:tc>
                                          </w:tr>
                                          <w:tr w:rsidR="00CC34EB">
                                            <w:trPr>
                                              <w:trHeight w:val="60"/>
                                            </w:trPr>
                                            <w:tc>
                                              <w:tcPr>
                                                <w:tcW w:w="0" w:type="auto"/>
                                                <w:vAlign w:val="center"/>
                                                <w:hideMark/>
                                              </w:tcPr>
                                              <w:p w:rsidR="00CC34EB" w:rsidRDefault="00CC34EB">
                                                <w:pPr>
                                                  <w:spacing w:line="75" w:lineRule="exact"/>
                                                  <w:rPr>
                                                    <w:rFonts w:eastAsia="Times New Roman"/>
                                                    <w:sz w:val="8"/>
                                                    <w:szCs w:val="8"/>
                                                  </w:rPr>
                                                </w:pPr>
                                                <w:r>
                                                  <w:rPr>
                                                    <w:rFonts w:eastAsia="Times New Roman"/>
                                                    <w:sz w:val="8"/>
                                                    <w:szCs w:val="8"/>
                                                  </w:rPr>
                                                  <w:softHyphen/>
                                                </w:r>
                                              </w:p>
                                            </w:tc>
                                          </w:tr>
                                        </w:tbl>
                                        <w:p w:rsidR="00CC34EB" w:rsidRDefault="00CC34EB">
                                          <w:pPr>
                                            <w:rPr>
                                              <w:rFonts w:eastAsia="Times New Roman"/>
                                              <w:color w:val="auto"/>
                                              <w:sz w:val="20"/>
                                              <w:szCs w:val="20"/>
                                            </w:rPr>
                                          </w:pPr>
                                        </w:p>
                                      </w:tc>
                                    </w:tr>
                                    <w:tr w:rsidR="00CC34EB">
                                      <w:tc>
                                        <w:tcPr>
                                          <w:tcW w:w="0" w:type="auto"/>
                                          <w:vAlign w:val="center"/>
                                          <w:hideMark/>
                                        </w:tcPr>
                                        <w:tbl>
                                          <w:tblPr>
                                            <w:tblW w:w="5000" w:type="pct"/>
                                            <w:tblCellMar>
                                              <w:left w:w="0" w:type="dxa"/>
                                              <w:right w:w="0" w:type="dxa"/>
                                            </w:tblCellMar>
                                            <w:tblLook w:val="04A0"/>
                                          </w:tblPr>
                                          <w:tblGrid>
                                            <w:gridCol w:w="9030"/>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27"/>
                                                    <w:szCs w:val="27"/>
                                                  </w:rPr>
                                                  <w:t xml:space="preserve">L’initiative populaire fédérale «200 francs, ça suffit!» menace la diversité et la qualité du service public médiatique suisse. En cas d’acceptation de cette initiative, les personnes aveugles et malvoyantes seraient particulièrement touchées, puisqu’elles risquent d’être exclues des programmes télévisés. Dès lors, le Comité fédératif de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a décidé de recommander le rejet de l’initiative, qui sera soumise au vote le 8 mars. Ci-après, sept arguments pour un NON à l’initiative.  </w:t>
                                                </w:r>
                                              </w:p>
                                              <w:p w:rsidR="00CC34EB" w:rsidRDefault="00CC34EB">
                                                <w:pPr>
                                                  <w:pStyle w:val="NormalWeb"/>
                                                  <w:rPr>
                                                    <w:rFonts w:ascii="Atkinson Hyperlegible" w:hAnsi="Atkinson Hyperlegible"/>
                                                    <w:sz w:val="30"/>
                                                    <w:szCs w:val="30"/>
                                                  </w:rPr>
                                                </w:pPr>
                                                <w:r>
                                                  <w:rPr>
                                                    <w:rFonts w:ascii="Atkinson Hyperlegible" w:hAnsi="Atkinson Hyperlegible"/>
                                                    <w:sz w:val="30"/>
                                                    <w:szCs w:val="30"/>
                                                  </w:rPr>
                                                  <w:t> </w:t>
                                                </w:r>
                                              </w:p>
                                              <w:p w:rsidR="00CC34EB" w:rsidRDefault="00CC34EB">
                                                <w:pPr>
                                                  <w:pStyle w:val="NormalWeb"/>
                                                  <w:rPr>
                                                    <w:rFonts w:ascii="Atkinson Hyperlegible" w:hAnsi="Atkinson Hyperlegible"/>
                                                    <w:sz w:val="30"/>
                                                    <w:szCs w:val="30"/>
                                                  </w:rPr>
                                                </w:pPr>
                                                <w:hyperlink r:id="rId7" w:tgtFrame="_blank" w:tooltip="Vers l'article " w:history="1">
                                                  <w:r>
                                                    <w:rPr>
                                                      <w:rStyle w:val="Lienhypertexte"/>
                                                      <w:rFonts w:ascii="Atkinson Hyperlegible" w:hAnsi="Atkinson Hyperlegible"/>
                                                      <w:sz w:val="30"/>
                                                      <w:szCs w:val="30"/>
                                                    </w:rPr>
                                                    <w:t>Vers l'article</w:t>
                                                  </w:r>
                                                </w:hyperlink>
                                              </w:p>
                                            </w:tc>
                                          </w:tr>
                                          <w:tr w:rsidR="00CC34EB">
                                            <w:trPr>
                                              <w:trHeight w:val="180"/>
                                            </w:trPr>
                                            <w:tc>
                                              <w:tcPr>
                                                <w:tcW w:w="0" w:type="auto"/>
                                                <w:vAlign w:val="center"/>
                                                <w:hideMark/>
                                              </w:tcPr>
                                              <w:p w:rsidR="00CC34EB" w:rsidRDefault="00CC34EB">
                                                <w:pPr>
                                                  <w:spacing w:line="225" w:lineRule="exact"/>
                                                  <w:rPr>
                                                    <w:rFonts w:eastAsia="Times New Roman"/>
                                                    <w:sz w:val="23"/>
                                                    <w:szCs w:val="23"/>
                                                  </w:rPr>
                                                </w:pPr>
                                                <w:r>
                                                  <w:rPr>
                                                    <w:rFonts w:eastAsia="Times New Roman"/>
                                                    <w:sz w:val="23"/>
                                                    <w:szCs w:val="23"/>
                                                  </w:rPr>
                                                  <w:softHyphen/>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30"/>
                  </w:tblGrid>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CC34EB">
                          <w:tc>
                            <w:tcPr>
                              <w:tcW w:w="5000" w:type="pct"/>
                              <w:hideMark/>
                            </w:tcPr>
                            <w:tbl>
                              <w:tblPr>
                                <w:tblW w:w="5000" w:type="pct"/>
                                <w:tblCellMar>
                                  <w:left w:w="0" w:type="dxa"/>
                                  <w:right w:w="0" w:type="dxa"/>
                                </w:tblCellMar>
                                <w:tblLook w:val="04A0"/>
                              </w:tblPr>
                              <w:tblGrid>
                                <w:gridCol w:w="9030"/>
                              </w:tblGrid>
                              <w:tr w:rsidR="00CC34EB">
                                <w:tc>
                                  <w:tcPr>
                                    <w:tcW w:w="0" w:type="auto"/>
                                    <w:hideMark/>
                                  </w:tcPr>
                                  <w:tbl>
                                    <w:tblPr>
                                      <w:tblW w:w="5000" w:type="pct"/>
                                      <w:tblCellMar>
                                        <w:left w:w="0" w:type="dxa"/>
                                        <w:right w:w="0" w:type="dxa"/>
                                      </w:tblCellMar>
                                      <w:tblLook w:val="04A0"/>
                                    </w:tblPr>
                                    <w:tblGrid>
                                      <w:gridCol w:w="9030"/>
                                    </w:tblGrid>
                                    <w:tr w:rsidR="00CC34EB">
                                      <w:tc>
                                        <w:tcPr>
                                          <w:tcW w:w="0" w:type="auto"/>
                                          <w:vAlign w:val="center"/>
                                          <w:hideMark/>
                                        </w:tcPr>
                                        <w:tbl>
                                          <w:tblPr>
                                            <w:tblW w:w="5000" w:type="pct"/>
                                            <w:tblCellMar>
                                              <w:left w:w="0" w:type="dxa"/>
                                              <w:right w:w="0" w:type="dxa"/>
                                            </w:tblCellMar>
                                            <w:tblLook w:val="04A0"/>
                                          </w:tblPr>
                                          <w:tblGrid>
                                            <w:gridCol w:w="9030"/>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42"/>
                                                    <w:szCs w:val="42"/>
                                                  </w:rPr>
                                                  <w:t xml:space="preserve">Déclaration d’impôt électronique: la </w:t>
                                                </w:r>
                                                <w:proofErr w:type="spellStart"/>
                                                <w:r>
                                                  <w:rPr>
                                                    <w:rFonts w:ascii="Atkinson Hyperlegible" w:hAnsi="Atkinson Hyperlegible"/>
                                                    <w:sz w:val="42"/>
                                                    <w:szCs w:val="42"/>
                                                  </w:rPr>
                                                  <w:t>fsa</w:t>
                                                </w:r>
                                                <w:proofErr w:type="spellEnd"/>
                                                <w:r>
                                                  <w:rPr>
                                                    <w:rFonts w:ascii="Atkinson Hyperlegible" w:hAnsi="Atkinson Hyperlegible"/>
                                                    <w:sz w:val="42"/>
                                                    <w:szCs w:val="42"/>
                                                  </w:rPr>
                                                  <w:t xml:space="preserve"> invite les personnes aveugles et malvoyantes à partager leurs expériences</w:t>
                                                </w:r>
                                              </w:p>
                                            </w:tc>
                                          </w:tr>
                                          <w:tr w:rsidR="00CC34EB">
                                            <w:trPr>
                                              <w:trHeight w:val="60"/>
                                            </w:trPr>
                                            <w:tc>
                                              <w:tcPr>
                                                <w:tcW w:w="0" w:type="auto"/>
                                                <w:vAlign w:val="center"/>
                                                <w:hideMark/>
                                              </w:tcPr>
                                              <w:p w:rsidR="00CC34EB" w:rsidRDefault="00CC34EB">
                                                <w:pPr>
                                                  <w:spacing w:line="75" w:lineRule="exact"/>
                                                  <w:rPr>
                                                    <w:rFonts w:eastAsia="Times New Roman"/>
                                                    <w:sz w:val="8"/>
                                                    <w:szCs w:val="8"/>
                                                  </w:rPr>
                                                </w:pPr>
                                                <w:r>
                                                  <w:rPr>
                                                    <w:rFonts w:eastAsia="Times New Roman"/>
                                                    <w:sz w:val="8"/>
                                                    <w:szCs w:val="8"/>
                                                  </w:rPr>
                                                  <w:softHyphen/>
                                                </w:r>
                                              </w:p>
                                            </w:tc>
                                          </w:tr>
                                        </w:tbl>
                                        <w:p w:rsidR="00CC34EB" w:rsidRDefault="00CC34EB">
                                          <w:pPr>
                                            <w:rPr>
                                              <w:rFonts w:eastAsia="Times New Roman"/>
                                              <w:color w:val="auto"/>
                                              <w:sz w:val="20"/>
                                              <w:szCs w:val="20"/>
                                            </w:rPr>
                                          </w:pPr>
                                        </w:p>
                                      </w:tc>
                                    </w:tr>
                                    <w:tr w:rsidR="00CC34EB">
                                      <w:tc>
                                        <w:tcPr>
                                          <w:tcW w:w="0" w:type="auto"/>
                                          <w:vAlign w:val="center"/>
                                          <w:hideMark/>
                                        </w:tcPr>
                                        <w:tbl>
                                          <w:tblPr>
                                            <w:tblW w:w="5000" w:type="pct"/>
                                            <w:tblCellMar>
                                              <w:left w:w="0" w:type="dxa"/>
                                              <w:right w:w="0" w:type="dxa"/>
                                            </w:tblCellMar>
                                            <w:tblLook w:val="04A0"/>
                                          </w:tblPr>
                                          <w:tblGrid>
                                            <w:gridCol w:w="9030"/>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27"/>
                                                    <w:szCs w:val="27"/>
                                                  </w:rPr>
                                                  <w:t xml:space="preserve">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s'engage pour que les personnes aveugles et malvoyantes puissent remplir </w:t>
                                                </w:r>
                                                <w:r>
                                                  <w:rPr>
                                                    <w:rFonts w:ascii="Atkinson Hyperlegible" w:hAnsi="Atkinson Hyperlegible"/>
                                                    <w:sz w:val="27"/>
                                                    <w:szCs w:val="27"/>
                                                  </w:rPr>
                                                  <w:lastRenderedPageBreak/>
                                                  <w:t>leur déclaration d'impôt de manière autonome et sans obstacles. Afin de vérifier l'accessibilité des solutions numériques existantes, nous vous invitons à nous faire part de vos expériences avec la déclaration d'impôt en ligne.</w:t>
                                                </w:r>
                                              </w:p>
                                              <w:p w:rsidR="00CC34EB" w:rsidRDefault="00CC34EB">
                                                <w:pPr>
                                                  <w:pStyle w:val="NormalWeb"/>
                                                  <w:rPr>
                                                    <w:rFonts w:ascii="Atkinson Hyperlegible" w:hAnsi="Atkinson Hyperlegible"/>
                                                    <w:sz w:val="30"/>
                                                    <w:szCs w:val="30"/>
                                                  </w:rPr>
                                                </w:pPr>
                                                <w:r>
                                                  <w:rPr>
                                                    <w:rFonts w:ascii="Atkinson Hyperlegible" w:hAnsi="Atkinson Hyperlegible"/>
                                                    <w:sz w:val="30"/>
                                                    <w:szCs w:val="30"/>
                                                  </w:rPr>
                                                  <w:t> </w:t>
                                                </w:r>
                                              </w:p>
                                              <w:p w:rsidR="00CC34EB" w:rsidRDefault="00CC34EB">
                                                <w:pPr>
                                                  <w:pStyle w:val="NormalWeb"/>
                                                  <w:rPr>
                                                    <w:rFonts w:ascii="Atkinson Hyperlegible" w:hAnsi="Atkinson Hyperlegible"/>
                                                    <w:sz w:val="30"/>
                                                    <w:szCs w:val="30"/>
                                                  </w:rPr>
                                                </w:pPr>
                                                <w:hyperlink r:id="rId8" w:tgtFrame="_blank" w:tooltip="Vers l'article " w:history="1">
                                                  <w:r>
                                                    <w:rPr>
                                                      <w:rStyle w:val="Lienhypertexte"/>
                                                      <w:rFonts w:ascii="Atkinson Hyperlegible" w:hAnsi="Atkinson Hyperlegible"/>
                                                      <w:sz w:val="30"/>
                                                      <w:szCs w:val="30"/>
                                                    </w:rPr>
                                                    <w:t>Vers l'article</w:t>
                                                  </w:r>
                                                </w:hyperlink>
                                              </w:p>
                                            </w:tc>
                                          </w:tr>
                                          <w:tr w:rsidR="00CC34EB">
                                            <w:trPr>
                                              <w:trHeight w:val="180"/>
                                            </w:trPr>
                                            <w:tc>
                                              <w:tcPr>
                                                <w:tcW w:w="0" w:type="auto"/>
                                                <w:vAlign w:val="center"/>
                                                <w:hideMark/>
                                              </w:tcPr>
                                              <w:p w:rsidR="00CC34EB" w:rsidRDefault="00CC34EB">
                                                <w:pPr>
                                                  <w:spacing w:line="225" w:lineRule="exact"/>
                                                  <w:rPr>
                                                    <w:rFonts w:eastAsia="Times New Roman"/>
                                                    <w:sz w:val="23"/>
                                                    <w:szCs w:val="23"/>
                                                  </w:rPr>
                                                </w:pPr>
                                                <w:r>
                                                  <w:rPr>
                                                    <w:rFonts w:eastAsia="Times New Roman"/>
                                                    <w:sz w:val="23"/>
                                                    <w:szCs w:val="23"/>
                                                  </w:rPr>
                                                  <w:lastRenderedPageBreak/>
                                                  <w:softHyphen/>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jc w:val="cente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72"/>
            </w:tblGrid>
            <w:tr w:rsidR="00CC34EB">
              <w:trPr>
                <w:trHeight w:val="600"/>
                <w:jc w:val="center"/>
              </w:trPr>
              <w:tc>
                <w:tcPr>
                  <w:tcW w:w="0" w:type="auto"/>
                  <w:vAlign w:val="center"/>
                  <w:hideMark/>
                </w:tcPr>
                <w:p w:rsidR="00CC34EB" w:rsidRDefault="00CC34EB">
                  <w:pPr>
                    <w:spacing w:line="750" w:lineRule="exact"/>
                    <w:rPr>
                      <w:rFonts w:eastAsia="Times New Roman"/>
                      <w:sz w:val="75"/>
                      <w:szCs w:val="75"/>
                    </w:rPr>
                  </w:pPr>
                  <w:r>
                    <w:rPr>
                      <w:rFonts w:eastAsia="Times New Roman"/>
                      <w:sz w:val="75"/>
                      <w:szCs w:val="75"/>
                    </w:rPr>
                    <w:softHyphen/>
                  </w:r>
                </w:p>
              </w:tc>
            </w:tr>
            <w:tr w:rsidR="00CC34EB">
              <w:trPr>
                <w:jc w:val="center"/>
              </w:trPr>
              <w:tc>
                <w:tcPr>
                  <w:tcW w:w="0" w:type="auto"/>
                  <w:shd w:val="clear" w:color="auto" w:fill="FFE6BC"/>
                  <w:hideMark/>
                </w:tcPr>
                <w:tbl>
                  <w:tblPr>
                    <w:tblW w:w="9000" w:type="dxa"/>
                    <w:jc w:val="center"/>
                    <w:tblCellMar>
                      <w:left w:w="0" w:type="dxa"/>
                      <w:right w:w="0" w:type="dxa"/>
                    </w:tblCellMar>
                    <w:tblLook w:val="04A0"/>
                  </w:tblPr>
                  <w:tblGrid>
                    <w:gridCol w:w="9000"/>
                  </w:tblGrid>
                  <w:tr w:rsidR="00CC34EB">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CC34EB">
                          <w:tc>
                            <w:tcPr>
                              <w:tcW w:w="5000" w:type="pct"/>
                            </w:tcPr>
                            <w:tbl>
                              <w:tblPr>
                                <w:tblpPr w:vertAnchor="text"/>
                                <w:tblW w:w="5000" w:type="pct"/>
                                <w:tblCellMar>
                                  <w:left w:w="0" w:type="dxa"/>
                                  <w:right w:w="0" w:type="dxa"/>
                                </w:tblCellMar>
                                <w:tblLook w:val="04A0"/>
                              </w:tblPr>
                              <w:tblGrid>
                                <w:gridCol w:w="9000"/>
                              </w:tblGrid>
                              <w:tr w:rsidR="00CC34EB">
                                <w:tc>
                                  <w:tcPr>
                                    <w:tcW w:w="0" w:type="auto"/>
                                    <w:hideMark/>
                                  </w:tcPr>
                                  <w:p w:rsidR="00CC34EB" w:rsidRDefault="00CC34EB">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Lecteurs CD Daisy: changement à partir de </w:t>
                                    </w:r>
                                  </w:p>
                                  <w:p w:rsidR="00CC34EB" w:rsidRDefault="00CC34EB">
                                    <w:pPr>
                                      <w:pStyle w:val="NormalWeb"/>
                                      <w:rPr>
                                        <w:rFonts w:ascii="Atkinson Hyperlegible" w:hAnsi="Atkinson Hyperlegible"/>
                                        <w:sz w:val="30"/>
                                        <w:szCs w:val="30"/>
                                      </w:rPr>
                                    </w:pPr>
                                    <w:r>
                                      <w:rPr>
                                        <w:rFonts w:ascii="Atkinson Hyperlegible" w:hAnsi="Atkinson Hyperlegible"/>
                                        <w:sz w:val="42"/>
                                        <w:szCs w:val="42"/>
                                      </w:rPr>
                                      <w:t>juin 2026</w:t>
                                    </w:r>
                                  </w:p>
                                </w:tc>
                              </w:tr>
                            </w:tbl>
                            <w:p w:rsidR="00CC34EB" w:rsidRDefault="00CC34EB">
                              <w:pPr>
                                <w:rPr>
                                  <w:rFonts w:eastAsia="Times New Roman"/>
                                  <w:vanish/>
                                </w:rPr>
                              </w:pPr>
                            </w:p>
                            <w:tbl>
                              <w:tblPr>
                                <w:tblpPr w:vertAnchor="text"/>
                                <w:tblW w:w="5000" w:type="pct"/>
                                <w:tblCellMar>
                                  <w:left w:w="0" w:type="dxa"/>
                                  <w:right w:w="0" w:type="dxa"/>
                                </w:tblCellMar>
                                <w:tblLook w:val="04A0"/>
                              </w:tblPr>
                              <w:tblGrid>
                                <w:gridCol w:w="9000"/>
                              </w:tblGrid>
                              <w:tr w:rsidR="00CC34EB">
                                <w:tc>
                                  <w:tcPr>
                                    <w:tcW w:w="0" w:type="auto"/>
                                    <w:tcMar>
                                      <w:top w:w="225" w:type="dxa"/>
                                      <w:left w:w="0" w:type="dxa"/>
                                      <w:bottom w:w="225" w:type="dxa"/>
                                      <w:right w:w="0" w:type="dxa"/>
                                    </w:tcMar>
                                  </w:tcPr>
                                  <w:p w:rsidR="00CC34EB" w:rsidRDefault="00CC34EB">
                                    <w:pPr>
                                      <w:pStyle w:val="NormalWeb"/>
                                      <w:rPr>
                                        <w:rFonts w:ascii="Atkinson Hyperlegible" w:hAnsi="Atkinson Hyperlegible"/>
                                        <w:sz w:val="30"/>
                                        <w:szCs w:val="30"/>
                                      </w:rPr>
                                    </w:pPr>
                                    <w:r>
                                      <w:rPr>
                                        <w:rFonts w:ascii="Atkinson Hyperlegible" w:hAnsi="Atkinson Hyperlegible"/>
                                        <w:sz w:val="27"/>
                                        <w:szCs w:val="27"/>
                                      </w:rPr>
                                      <w:t>L'</w:t>
                                    </w:r>
                                    <w:proofErr w:type="spellStart"/>
                                    <w:r>
                                      <w:rPr>
                                        <w:rFonts w:ascii="Atkinson Hyperlegible" w:hAnsi="Atkinson Hyperlegible"/>
                                        <w:sz w:val="27"/>
                                        <w:szCs w:val="27"/>
                                      </w:rPr>
                                      <w:t>UCBA</w:t>
                                    </w:r>
                                    <w:proofErr w:type="spellEnd"/>
                                    <w:r>
                                      <w:rPr>
                                        <w:rFonts w:ascii="Atkinson Hyperlegible" w:hAnsi="Atkinson Hyperlegible"/>
                                        <w:sz w:val="27"/>
                                        <w:szCs w:val="27"/>
                                      </w:rPr>
                                      <w:t xml:space="preserve"> cessera la vente de lecteurs CD DAISY à la fin juin 2026. </w:t>
                                    </w:r>
                                  </w:p>
                                  <w:p w:rsidR="00CC34EB" w:rsidRDefault="00CC34EB">
                                    <w:pPr>
                                      <w:pStyle w:val="default"/>
                                      <w:rPr>
                                        <w:rFonts w:ascii="Atkinson Hyperlegible" w:hAnsi="Atkinson Hyperlegible"/>
                                        <w:sz w:val="30"/>
                                        <w:szCs w:val="30"/>
                                      </w:rPr>
                                    </w:pPr>
                                    <w:r>
                                      <w:rPr>
                                        <w:rFonts w:ascii="Atkinson Hyperlegible" w:hAnsi="Atkinson Hyperlegible"/>
                                        <w:sz w:val="27"/>
                                        <w:szCs w:val="27"/>
                                      </w:rPr>
                                      <w:t>La raison: le fabricant des appareils ne peut plus se procurer de lecteurs CD. Pour les appareils vendus par l'</w:t>
                                    </w:r>
                                    <w:proofErr w:type="spellStart"/>
                                    <w:r>
                                      <w:rPr>
                                        <w:rFonts w:ascii="Atkinson Hyperlegible" w:hAnsi="Atkinson Hyperlegible"/>
                                        <w:sz w:val="27"/>
                                        <w:szCs w:val="27"/>
                                      </w:rPr>
                                      <w:t>UCBA</w:t>
                                    </w:r>
                                    <w:proofErr w:type="spellEnd"/>
                                    <w:r>
                                      <w:rPr>
                                        <w:rFonts w:ascii="Atkinson Hyperlegible" w:hAnsi="Atkinson Hyperlegible"/>
                                        <w:sz w:val="27"/>
                                        <w:szCs w:val="27"/>
                                      </w:rPr>
                                      <w:t xml:space="preserve"> jusqu'à cette date, la garantie de service de deux ans reste valable. La location du lecteur de livres audio est également possible jusqu'à fin juin 2026.</w:t>
                                    </w:r>
                                  </w:p>
                                  <w:p w:rsidR="00CC34EB" w:rsidRDefault="00CC34EB">
                                    <w:pPr>
                                      <w:pStyle w:val="default"/>
                                      <w:rPr>
                                        <w:rFonts w:ascii="Atkinson Hyperlegible" w:hAnsi="Atkinson Hyperlegible"/>
                                        <w:sz w:val="30"/>
                                        <w:szCs w:val="30"/>
                                      </w:rPr>
                                    </w:pPr>
                                  </w:p>
                                  <w:p w:rsidR="00CC34EB" w:rsidRDefault="00CC34EB">
                                    <w:pPr>
                                      <w:pStyle w:val="default"/>
                                      <w:rPr>
                                        <w:rFonts w:ascii="Atkinson Hyperlegible" w:hAnsi="Atkinson Hyperlegible"/>
                                        <w:sz w:val="30"/>
                                        <w:szCs w:val="30"/>
                                      </w:rPr>
                                    </w:pPr>
                                    <w:r>
                                      <w:rPr>
                                        <w:rFonts w:ascii="Atkinson Hyperlegible" w:hAnsi="Atkinson Hyperlegible"/>
                                        <w:sz w:val="27"/>
                                        <w:szCs w:val="27"/>
                                      </w:rPr>
                                      <w:t>Les bibliothèques spécialisées suisses étudient de nouvelles solutions afin que les personnes malvoyantes puissent continuer à utiliser facilement les livres audio à l'avenir.</w:t>
                                    </w:r>
                                  </w:p>
                                  <w:p w:rsidR="00CC34EB" w:rsidRDefault="00CC34EB">
                                    <w:pPr>
                                      <w:pStyle w:val="NormalWeb"/>
                                      <w:rPr>
                                        <w:rFonts w:ascii="Atkinson Hyperlegible" w:hAnsi="Atkinson Hyperlegible"/>
                                        <w:sz w:val="30"/>
                                        <w:szCs w:val="30"/>
                                      </w:rPr>
                                    </w:pPr>
                                    <w:r>
                                      <w:rPr>
                                        <w:rFonts w:ascii="Atkinson Hyperlegible" w:hAnsi="Atkinson Hyperlegible"/>
                                        <w:sz w:val="30"/>
                                        <w:szCs w:val="30"/>
                                      </w:rPr>
                                      <w:t> </w:t>
                                    </w:r>
                                  </w:p>
                                  <w:p w:rsidR="00CC34EB" w:rsidRDefault="00CC34EB">
                                    <w:pPr>
                                      <w:pStyle w:val="default"/>
                                      <w:rPr>
                                        <w:rFonts w:ascii="Atkinson Hyperlegible" w:hAnsi="Atkinson Hyperlegible"/>
                                        <w:sz w:val="30"/>
                                        <w:szCs w:val="30"/>
                                      </w:rPr>
                                    </w:pPr>
                                    <w:hyperlink r:id="rId9" w:tgtFrame="_blank" w:tooltip="Information de l'UCBA et des bibliothèques spécialisées suisses " w:history="1">
                                      <w:r>
                                        <w:rPr>
                                          <w:rStyle w:val="Lienhypertexte"/>
                                          <w:rFonts w:ascii="Atkinson Hyperlegible" w:hAnsi="Atkinson Hyperlegible"/>
                                          <w:sz w:val="30"/>
                                          <w:szCs w:val="30"/>
                                        </w:rPr>
                                        <w:t>Information de l'</w:t>
                                      </w:r>
                                      <w:proofErr w:type="spellStart"/>
                                      <w:r>
                                        <w:rPr>
                                          <w:rStyle w:val="Lienhypertexte"/>
                                          <w:rFonts w:ascii="Atkinson Hyperlegible" w:hAnsi="Atkinson Hyperlegible"/>
                                          <w:sz w:val="30"/>
                                          <w:szCs w:val="30"/>
                                        </w:rPr>
                                        <w:t>UCBA</w:t>
                                      </w:r>
                                      <w:proofErr w:type="spellEnd"/>
                                      <w:r>
                                        <w:rPr>
                                          <w:rStyle w:val="Lienhypertexte"/>
                                          <w:rFonts w:ascii="Atkinson Hyperlegible" w:hAnsi="Atkinson Hyperlegible"/>
                                          <w:sz w:val="30"/>
                                          <w:szCs w:val="30"/>
                                        </w:rPr>
                                        <w:t xml:space="preserve"> et des bibliothèques spécialisées suisses</w:t>
                                      </w:r>
                                    </w:hyperlink>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jc w:val="center"/>
                    <w:rPr>
                      <w:rFonts w:eastAsia="Times New Roman"/>
                      <w:color w:val="auto"/>
                      <w:sz w:val="20"/>
                      <w:szCs w:val="20"/>
                    </w:rPr>
                  </w:pPr>
                </w:p>
              </w:tc>
            </w:tr>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bl>
          <w:p w:rsidR="00CC34EB" w:rsidRDefault="00CC34EB">
            <w:pPr>
              <w:rPr>
                <w:rFonts w:eastAsia="Times New Roman"/>
                <w:vanish/>
              </w:rPr>
            </w:pPr>
          </w:p>
          <w:tbl>
            <w:tblPr>
              <w:tblW w:w="9000" w:type="dxa"/>
              <w:jc w:val="center"/>
              <w:tblCellMar>
                <w:left w:w="0" w:type="dxa"/>
                <w:right w:w="0" w:type="dxa"/>
              </w:tblCellMar>
              <w:tblLook w:val="04A0"/>
            </w:tblPr>
            <w:tblGrid>
              <w:gridCol w:w="9000"/>
            </w:tblGrid>
            <w:tr w:rsidR="00CC34EB">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5986"/>
                          <w:gridCol w:w="3014"/>
                        </w:tblGrid>
                        <w:tr w:rsidR="00CC34EB">
                          <w:tc>
                            <w:tcPr>
                              <w:tcW w:w="3300" w:type="pct"/>
                              <w:hideMark/>
                            </w:tcPr>
                            <w:tbl>
                              <w:tblPr>
                                <w:tblW w:w="5000" w:type="pct"/>
                                <w:tblCellMar>
                                  <w:left w:w="0" w:type="dxa"/>
                                  <w:right w:w="0" w:type="dxa"/>
                                </w:tblCellMar>
                                <w:tblLook w:val="04A0"/>
                              </w:tblPr>
                              <w:tblGrid>
                                <w:gridCol w:w="5986"/>
                              </w:tblGrid>
                              <w:tr w:rsidR="00CC34EB">
                                <w:tc>
                                  <w:tcPr>
                                    <w:tcW w:w="0" w:type="auto"/>
                                    <w:hideMark/>
                                  </w:tcPr>
                                  <w:tbl>
                                    <w:tblPr>
                                      <w:tblW w:w="5000" w:type="pct"/>
                                      <w:tblCellMar>
                                        <w:left w:w="0" w:type="dxa"/>
                                        <w:right w:w="0" w:type="dxa"/>
                                      </w:tblCellMar>
                                      <w:tblLook w:val="04A0"/>
                                    </w:tblPr>
                                    <w:tblGrid>
                                      <w:gridCol w:w="5986"/>
                                    </w:tblGrid>
                                    <w:tr w:rsidR="00CC34EB">
                                      <w:tc>
                                        <w:tcPr>
                                          <w:tcW w:w="0" w:type="auto"/>
                                          <w:vAlign w:val="center"/>
                                          <w:hideMark/>
                                        </w:tcPr>
                                        <w:tbl>
                                          <w:tblPr>
                                            <w:tblW w:w="5000" w:type="pct"/>
                                            <w:tblCellMar>
                                              <w:left w:w="0" w:type="dxa"/>
                                              <w:right w:w="0" w:type="dxa"/>
                                            </w:tblCellMar>
                                            <w:tblLook w:val="04A0"/>
                                          </w:tblPr>
                                          <w:tblGrid>
                                            <w:gridCol w:w="5986"/>
                                          </w:tblGrid>
                                          <w:tr w:rsidR="00CC34EB">
                                            <w:tc>
                                              <w:tcPr>
                                                <w:tcW w:w="0" w:type="auto"/>
                                                <w:hideMark/>
                                              </w:tcPr>
                                              <w:p w:rsidR="00CC34EB" w:rsidRDefault="00CC34EB">
                                                <w:pPr>
                                                  <w:pStyle w:val="NormalWeb"/>
                                                  <w:rPr>
                                                    <w:rFonts w:ascii="Atkinson Hyperlegible" w:hAnsi="Atkinson Hyperlegible"/>
                                                    <w:sz w:val="30"/>
                                                    <w:szCs w:val="30"/>
                                                  </w:rPr>
                                                </w:pPr>
                                                <w:proofErr w:type="spellStart"/>
                                                <w:r>
                                                  <w:rPr>
                                                    <w:rFonts w:ascii="Atkinson Hyperlegible" w:hAnsi="Atkinson Hyperlegible"/>
                                                    <w:sz w:val="42"/>
                                                    <w:szCs w:val="42"/>
                                                  </w:rPr>
                                                  <w:t>SightCity</w:t>
                                                </w:r>
                                                <w:proofErr w:type="spellEnd"/>
                                                <w:r>
                                                  <w:rPr>
                                                    <w:rFonts w:ascii="Atkinson Hyperlegible" w:hAnsi="Atkinson Hyperlegible"/>
                                                    <w:sz w:val="42"/>
                                                    <w:szCs w:val="42"/>
                                                  </w:rPr>
                                                  <w:t xml:space="preserve"> 2026 – Un rendez-vous à ne pas manquer! </w:t>
                                                </w:r>
                                              </w:p>
                                            </w:tc>
                                          </w:tr>
                                          <w:tr w:rsidR="00CC34EB">
                                            <w:trPr>
                                              <w:trHeight w:val="60"/>
                                            </w:trPr>
                                            <w:tc>
                                              <w:tcPr>
                                                <w:tcW w:w="0" w:type="auto"/>
                                                <w:vAlign w:val="center"/>
                                                <w:hideMark/>
                                              </w:tcPr>
                                              <w:p w:rsidR="00CC34EB" w:rsidRDefault="00CC34EB">
                                                <w:pPr>
                                                  <w:spacing w:line="75" w:lineRule="exact"/>
                                                  <w:rPr>
                                                    <w:rFonts w:eastAsia="Times New Roman"/>
                                                    <w:sz w:val="8"/>
                                                    <w:szCs w:val="8"/>
                                                  </w:rPr>
                                                </w:pPr>
                                                <w:r>
                                                  <w:rPr>
                                                    <w:rFonts w:eastAsia="Times New Roman"/>
                                                    <w:sz w:val="8"/>
                                                    <w:szCs w:val="8"/>
                                                  </w:rPr>
                                                  <w:softHyphen/>
                                                </w:r>
                                              </w:p>
                                            </w:tc>
                                          </w:tr>
                                        </w:tbl>
                                        <w:p w:rsidR="00CC34EB" w:rsidRDefault="00CC34EB">
                                          <w:pPr>
                                            <w:rPr>
                                              <w:rFonts w:eastAsia="Times New Roman"/>
                                              <w:color w:val="auto"/>
                                              <w:sz w:val="20"/>
                                              <w:szCs w:val="20"/>
                                            </w:rPr>
                                          </w:pPr>
                                        </w:p>
                                      </w:tc>
                                    </w:tr>
                                    <w:tr w:rsidR="00CC34EB">
                                      <w:tc>
                                        <w:tcPr>
                                          <w:tcW w:w="0" w:type="auto"/>
                                          <w:vAlign w:val="center"/>
                                          <w:hideMark/>
                                        </w:tcPr>
                                        <w:tbl>
                                          <w:tblPr>
                                            <w:tblW w:w="5000" w:type="pct"/>
                                            <w:tblCellMar>
                                              <w:left w:w="0" w:type="dxa"/>
                                              <w:right w:w="0" w:type="dxa"/>
                                            </w:tblCellMar>
                                            <w:tblLook w:val="04A0"/>
                                          </w:tblPr>
                                          <w:tblGrid>
                                            <w:gridCol w:w="5986"/>
                                          </w:tblGrid>
                                          <w:tr w:rsidR="00CC34EB">
                                            <w:tc>
                                              <w:tcPr>
                                                <w:tcW w:w="0" w:type="auto"/>
                                              </w:tcPr>
                                              <w:p w:rsidR="00CC34EB" w:rsidRDefault="00CC34EB">
                                                <w:pPr>
                                                  <w:pStyle w:val="NormalWeb"/>
                                                </w:pPr>
                                                <w:r>
                                                  <w:rPr>
                                                    <w:rFonts w:ascii="Atkinson Hyperlegible" w:hAnsi="Atkinson Hyperlegible"/>
                                                    <w:sz w:val="30"/>
                                                    <w:szCs w:val="30"/>
                                                  </w:rPr>
                                                  <w:t xml:space="preserve">Cette année, 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sera présente à </w:t>
                                                </w:r>
                                                <w:proofErr w:type="spellStart"/>
                                                <w:r>
                                                  <w:rPr>
                                                    <w:rFonts w:ascii="Atkinson Hyperlegible" w:hAnsi="Atkinson Hyperlegible"/>
                                                    <w:sz w:val="30"/>
                                                    <w:szCs w:val="30"/>
                                                  </w:rPr>
                                                  <w:t>SightCity</w:t>
                                                </w:r>
                                                <w:proofErr w:type="spellEnd"/>
                                                <w:r>
                                                  <w:rPr>
                                                    <w:rFonts w:ascii="Atkinson Hyperlegible" w:hAnsi="Atkinson Hyperlegible"/>
                                                    <w:sz w:val="30"/>
                                                    <w:szCs w:val="30"/>
                                                  </w:rPr>
                                                  <w:t xml:space="preserve"> à Francfort-sur-le-Main (D) avec son propre stand. </w:t>
                                                </w:r>
                                                <w:proofErr w:type="spellStart"/>
                                                <w:r>
                                                  <w:rPr>
                                                    <w:rFonts w:ascii="Atkinson Hyperlegible" w:hAnsi="Atkinson Hyperlegible"/>
                                                    <w:sz w:val="30"/>
                                                    <w:szCs w:val="30"/>
                                                  </w:rPr>
                                                  <w:t>SightCity</w:t>
                                                </w:r>
                                                <w:proofErr w:type="spellEnd"/>
                                                <w:r>
                                                  <w:rPr>
                                                    <w:rFonts w:ascii="Atkinson Hyperlegible" w:hAnsi="Atkinson Hyperlegible"/>
                                                    <w:sz w:val="30"/>
                                                    <w:szCs w:val="30"/>
                                                  </w:rPr>
                                                  <w:t xml:space="preserve"> est le plus grand salon professionnel d'Europe consacré aux aides pour les malvoyants et les aveugles. Du 27 au 29 mai 2026, nous y présenterons nos deux applications </w:t>
                                                </w:r>
                                                <w:proofErr w:type="spellStart"/>
                                                <w:r>
                                                  <w:rPr>
                                                    <w:rFonts w:ascii="Atkinson Hyperlegible" w:hAnsi="Atkinson Hyperlegible"/>
                                                    <w:sz w:val="30"/>
                                                    <w:szCs w:val="30"/>
                                                  </w:rPr>
                                                  <w:t>MyWay</w:t>
                                                </w:r>
                                                <w:proofErr w:type="spellEnd"/>
                                                <w:r>
                                                  <w:rPr>
                                                    <w:rFonts w:ascii="Atkinson Hyperlegible" w:hAnsi="Atkinson Hyperlegible"/>
                                                    <w:sz w:val="30"/>
                                                    <w:szCs w:val="30"/>
                                                  </w:rPr>
                                                  <w:t xml:space="preserve"> Pro et </w:t>
                                                </w:r>
                                                <w:proofErr w:type="spellStart"/>
                                                <w:r>
                                                  <w:rPr>
                                                    <w:rFonts w:ascii="Atkinson Hyperlegible" w:hAnsi="Atkinson Hyperlegible"/>
                                                    <w:sz w:val="30"/>
                                                    <w:szCs w:val="30"/>
                                                  </w:rPr>
                                                  <w:t>Intros</w:t>
                                                </w:r>
                                                <w:proofErr w:type="spellEnd"/>
                                                <w:r>
                                                  <w:rPr>
                                                    <w:rFonts w:ascii="Atkinson Hyperlegible" w:hAnsi="Atkinson Hyperlegible"/>
                                                    <w:sz w:val="30"/>
                                                    <w:szCs w:val="30"/>
                                                  </w:rPr>
                                                  <w:t xml:space="preserve"> – Radar TP.</w:t>
                                                </w:r>
                                              </w:p>
                                              <w:p w:rsidR="00CC34EB" w:rsidRDefault="00CC34EB">
                                                <w:pPr>
                                                  <w:pStyle w:val="NormalWeb"/>
                                                  <w:rPr>
                                                    <w:rFonts w:ascii="Atkinson Hyperlegible" w:hAnsi="Atkinson Hyperlegible"/>
                                                    <w:sz w:val="30"/>
                                                    <w:szCs w:val="30"/>
                                                  </w:rPr>
                                                </w:pPr>
                                              </w:p>
                                              <w:p w:rsidR="00CC34EB" w:rsidRDefault="00CC34EB">
                                                <w:pPr>
                                                  <w:pStyle w:val="NormalWeb"/>
                                                  <w:rPr>
                                                    <w:rFonts w:ascii="Atkinson Hyperlegible" w:hAnsi="Atkinson Hyperlegible"/>
                                                    <w:sz w:val="30"/>
                                                    <w:szCs w:val="30"/>
                                                  </w:rPr>
                                                </w:pPr>
                                                <w:hyperlink r:id="rId10" w:tgtFrame="_blank" w:tooltip="Vers l'article " w:history="1">
                                                  <w:r>
                                                    <w:rPr>
                                                      <w:rStyle w:val="Lienhypertexte"/>
                                                      <w:rFonts w:ascii="Atkinson Hyperlegible" w:hAnsi="Atkinson Hyperlegible"/>
                                                      <w:sz w:val="30"/>
                                                      <w:szCs w:val="30"/>
                                                    </w:rPr>
                                                    <w:t>Vers l'article</w:t>
                                                  </w:r>
                                                </w:hyperlink>
                                              </w:p>
                                            </w:tc>
                                          </w:tr>
                                          <w:tr w:rsidR="00CC34EB">
                                            <w:trPr>
                                              <w:trHeight w:val="180"/>
                                            </w:trPr>
                                            <w:tc>
                                              <w:tcPr>
                                                <w:tcW w:w="0" w:type="auto"/>
                                                <w:vAlign w:val="center"/>
                                                <w:hideMark/>
                                              </w:tcPr>
                                              <w:p w:rsidR="00CC34EB" w:rsidRDefault="00CC34EB">
                                                <w:pPr>
                                                  <w:spacing w:line="225" w:lineRule="exact"/>
                                                  <w:rPr>
                                                    <w:rFonts w:eastAsia="Times New Roman"/>
                                                    <w:sz w:val="23"/>
                                                    <w:szCs w:val="23"/>
                                                  </w:rPr>
                                                </w:pPr>
                                                <w:r>
                                                  <w:rPr>
                                                    <w:rFonts w:eastAsia="Times New Roman"/>
                                                    <w:sz w:val="23"/>
                                                    <w:szCs w:val="23"/>
                                                  </w:rPr>
                                                  <w:softHyphen/>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14"/>
                              </w:tblGrid>
                              <w:tr w:rsidR="00CC34EB">
                                <w:tc>
                                  <w:tcPr>
                                    <w:tcW w:w="0" w:type="auto"/>
                                    <w:hideMark/>
                                  </w:tcPr>
                                  <w:tbl>
                                    <w:tblPr>
                                      <w:tblW w:w="5000" w:type="pct"/>
                                      <w:tblCellMar>
                                        <w:left w:w="0" w:type="dxa"/>
                                        <w:right w:w="0" w:type="dxa"/>
                                      </w:tblCellMar>
                                      <w:tblLook w:val="04A0"/>
                                    </w:tblPr>
                                    <w:tblGrid>
                                      <w:gridCol w:w="3014"/>
                                    </w:tblGrid>
                                    <w:tr w:rsidR="00CC34EB">
                                      <w:tc>
                                        <w:tcPr>
                                          <w:tcW w:w="0" w:type="auto"/>
                                          <w:vAlign w:val="center"/>
                                          <w:hideMark/>
                                        </w:tcPr>
                                        <w:tbl>
                                          <w:tblPr>
                                            <w:tblW w:w="2985" w:type="dxa"/>
                                            <w:tblCellMar>
                                              <w:left w:w="0" w:type="dxa"/>
                                              <w:right w:w="0" w:type="dxa"/>
                                            </w:tblCellMar>
                                            <w:tblLook w:val="04A0"/>
                                          </w:tblPr>
                                          <w:tblGrid>
                                            <w:gridCol w:w="3014"/>
                                          </w:tblGrid>
                                          <w:tr w:rsidR="00CC34EB">
                                            <w:tc>
                                              <w:tcPr>
                                                <w:tcW w:w="0" w:type="auto"/>
                                                <w:tcMar>
                                                  <w:top w:w="0" w:type="dxa"/>
                                                  <w:left w:w="300" w:type="dxa"/>
                                                  <w:bottom w:w="0" w:type="dxa"/>
                                                  <w:right w:w="0" w:type="dxa"/>
                                                </w:tcMar>
                                                <w:vAlign w:val="center"/>
                                                <w:hideMark/>
                                              </w:tcPr>
                                              <w:p w:rsidR="00CC34EB" w:rsidRDefault="00CC34EB">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4340" cy="1704340"/>
                                                      <wp:effectExtent l="19050" t="0" r="0" b="0"/>
                                                      <wp:docPr id="3" name="Image 3" descr="Un groupe de personnes, dont beaucoup sont munies d'une canne blanche, se tient devant une façade vitrée surmontée d'une bannière « SightCity - Willkommen - Welc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groupe de personnes, dont beaucoup sont munies d'une canne blanche, se tient devant une façade vitrée surmontée d'une bannière « SightCity - Willkommen - Welcome »."/>
                                                              <pic:cNvPicPr>
                                                                <a:picLocks noChangeAspect="1" noChangeArrowheads="1"/>
                                                              </pic:cNvPicPr>
                                                            </pic:nvPicPr>
                                                            <pic:blipFill>
                                                              <a:blip r:embed="rId11" cstate="print"/>
                                                              <a:srcRect/>
                                                              <a:stretch>
                                                                <a:fillRect/>
                                                              </a:stretch>
                                                            </pic:blipFill>
                                                            <pic:spPr bwMode="auto">
                                                              <a:xfrm>
                                                                <a:off x="0" y="0"/>
                                                                <a:ext cx="1704340" cy="1704340"/>
                                                              </a:xfrm>
                                                              <a:prstGeom prst="rect">
                                                                <a:avLst/>
                                                              </a:prstGeom>
                                                              <a:noFill/>
                                                              <a:ln w="9525">
                                                                <a:noFill/>
                                                                <a:miter lim="800000"/>
                                                                <a:headEnd/>
                                                                <a:tailEnd/>
                                                              </a:ln>
                                                            </pic:spPr>
                                                          </pic:pic>
                                                        </a:graphicData>
                                                      </a:graphic>
                                                    </wp:inline>
                                                  </w:drawing>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jc w:val="cente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72"/>
            </w:tblGrid>
            <w:tr w:rsidR="00CC34EB">
              <w:trPr>
                <w:trHeight w:val="600"/>
                <w:jc w:val="center"/>
              </w:trPr>
              <w:tc>
                <w:tcPr>
                  <w:tcW w:w="0" w:type="auto"/>
                  <w:vAlign w:val="center"/>
                  <w:hideMark/>
                </w:tcPr>
                <w:p w:rsidR="00CC34EB" w:rsidRDefault="00CC34EB">
                  <w:pPr>
                    <w:spacing w:line="750" w:lineRule="exact"/>
                    <w:rPr>
                      <w:rFonts w:eastAsia="Times New Roman"/>
                      <w:sz w:val="75"/>
                      <w:szCs w:val="75"/>
                    </w:rPr>
                  </w:pPr>
                  <w:r>
                    <w:rPr>
                      <w:rFonts w:eastAsia="Times New Roman"/>
                      <w:sz w:val="75"/>
                      <w:szCs w:val="75"/>
                    </w:rPr>
                    <w:lastRenderedPageBreak/>
                    <w:softHyphen/>
                  </w:r>
                </w:p>
              </w:tc>
            </w:tr>
            <w:tr w:rsidR="00CC34EB">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CC34EB">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CC34EB">
                          <w:tc>
                            <w:tcPr>
                              <w:tcW w:w="5000" w:type="pct"/>
                            </w:tcPr>
                            <w:tbl>
                              <w:tblPr>
                                <w:tblpPr w:vertAnchor="text"/>
                                <w:tblW w:w="5000" w:type="pct"/>
                                <w:tblCellMar>
                                  <w:left w:w="0" w:type="dxa"/>
                                  <w:right w:w="0" w:type="dxa"/>
                                </w:tblCellMar>
                                <w:tblLook w:val="04A0"/>
                              </w:tblPr>
                              <w:tblGrid>
                                <w:gridCol w:w="9000"/>
                              </w:tblGrid>
                              <w:tr w:rsidR="00CC34EB">
                                <w:tc>
                                  <w:tcPr>
                                    <w:tcW w:w="0" w:type="auto"/>
                                    <w:hideMark/>
                                  </w:tcPr>
                                  <w:p w:rsidR="00CC34EB" w:rsidRDefault="00CC34EB">
                                    <w:pPr>
                                      <w:pStyle w:val="Titre2"/>
                                      <w:rPr>
                                        <w:rFonts w:ascii="Atkinson Hyperlegible" w:eastAsia="Times New Roman" w:hAnsi="Atkinson Hyperlegible"/>
                                        <w:sz w:val="42"/>
                                        <w:szCs w:val="42"/>
                                      </w:rPr>
                                    </w:pPr>
                                    <w:r>
                                      <w:rPr>
                                        <w:rFonts w:ascii="Atkinson Hyperlegible" w:eastAsia="Times New Roman" w:hAnsi="Atkinson Hyperlegible"/>
                                        <w:sz w:val="30"/>
                                        <w:szCs w:val="30"/>
                                        <w:shd w:val="clear" w:color="auto" w:fill="FFFFFF"/>
                                      </w:rPr>
                                      <w:t> De la fédération: </w:t>
                                    </w:r>
                                  </w:p>
                                  <w:p w:rsidR="00CC34EB" w:rsidRDefault="00CC34EB">
                                    <w:pPr>
                                      <w:pStyle w:val="NormalWeb"/>
                                      <w:rPr>
                                        <w:rFonts w:ascii="Atkinson Hyperlegible" w:hAnsi="Atkinson Hyperlegible"/>
                                        <w:sz w:val="30"/>
                                        <w:szCs w:val="30"/>
                                      </w:rPr>
                                    </w:pPr>
                                    <w:r>
                                      <w:rPr>
                                        <w:rFonts w:ascii="Atkinson Hyperlegible" w:hAnsi="Atkinson Hyperlegible"/>
                                        <w:sz w:val="42"/>
                                        <w:szCs w:val="42"/>
                                      </w:rPr>
                                      <w:t>Recherche de personnes externes pour tester l’accessibilité </w:t>
                                    </w:r>
                                  </w:p>
                                </w:tc>
                              </w:tr>
                            </w:tbl>
                            <w:p w:rsidR="00CC34EB" w:rsidRDefault="00CC34EB">
                              <w:pPr>
                                <w:rPr>
                                  <w:rFonts w:eastAsia="Times New Roman"/>
                                  <w:vanish/>
                                </w:rPr>
                              </w:pPr>
                            </w:p>
                            <w:tbl>
                              <w:tblPr>
                                <w:tblpPr w:vertAnchor="text"/>
                                <w:tblW w:w="5000" w:type="pct"/>
                                <w:tblCellMar>
                                  <w:left w:w="0" w:type="dxa"/>
                                  <w:right w:w="0" w:type="dxa"/>
                                </w:tblCellMar>
                                <w:tblLook w:val="04A0"/>
                              </w:tblPr>
                              <w:tblGrid>
                                <w:gridCol w:w="9000"/>
                              </w:tblGrid>
                              <w:tr w:rsidR="00CC34EB">
                                <w:tc>
                                  <w:tcPr>
                                    <w:tcW w:w="0" w:type="auto"/>
                                    <w:tcMar>
                                      <w:top w:w="225" w:type="dxa"/>
                                      <w:left w:w="0" w:type="dxa"/>
                                      <w:bottom w:w="225" w:type="dxa"/>
                                      <w:right w:w="0" w:type="dxa"/>
                                    </w:tcMar>
                                  </w:tcPr>
                                  <w:p w:rsidR="00CC34EB" w:rsidRDefault="00CC34EB">
                                    <w:pPr>
                                      <w:pStyle w:val="default"/>
                                      <w:rPr>
                                        <w:rFonts w:ascii="Atkinson Hyperlegible" w:hAnsi="Atkinson Hyperlegible"/>
                                        <w:sz w:val="30"/>
                                        <w:szCs w:val="30"/>
                                      </w:rPr>
                                    </w:pPr>
                                    <w:r>
                                      <w:rPr>
                                        <w:rFonts w:ascii="Atkinson Hyperlegible" w:hAnsi="Atkinson Hyperlegible"/>
                                        <w:sz w:val="30"/>
                                        <w:szCs w:val="30"/>
                                      </w:rPr>
                                      <w:t xml:space="preserve">Vous souhaitez contribuer à rendre les sites web et les applications plus accessibles, tout en gagnant un peu d'argent? Le service spécialisé Technologie et Innovation de 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cherche des volontaires qui nous aident à tester l'accessibilité de sites web – fidèle à la devise « Rien sur nous sans nous».</w:t>
                                    </w:r>
                                  </w:p>
                                  <w:p w:rsidR="00CC34EB" w:rsidRDefault="00CC34EB">
                                    <w:pPr>
                                      <w:pStyle w:val="default"/>
                                      <w:rPr>
                                        <w:rFonts w:ascii="Atkinson Hyperlegible" w:hAnsi="Atkinson Hyperlegible"/>
                                        <w:sz w:val="30"/>
                                        <w:szCs w:val="30"/>
                                      </w:rPr>
                                    </w:pPr>
                                  </w:p>
                                  <w:p w:rsidR="00CC34EB" w:rsidRDefault="00CC34EB">
                                    <w:pPr>
                                      <w:pStyle w:val="default"/>
                                      <w:rPr>
                                        <w:rFonts w:ascii="Atkinson Hyperlegible" w:hAnsi="Atkinson Hyperlegible"/>
                                        <w:sz w:val="30"/>
                                        <w:szCs w:val="30"/>
                                      </w:rPr>
                                    </w:pPr>
                                    <w:r>
                                      <w:rPr>
                                        <w:rFonts w:ascii="Atkinson Hyperlegible" w:hAnsi="Atkinson Hyperlegible"/>
                                        <w:sz w:val="30"/>
                                        <w:szCs w:val="30"/>
                                      </w:rPr>
                                      <w:t xml:space="preserve">En tant que personne aveugle ou malvoyante, vous serez </w:t>
                                    </w:r>
                                    <w:proofErr w:type="spellStart"/>
                                    <w:r>
                                      <w:rPr>
                                        <w:rFonts w:ascii="Atkinson Hyperlegible" w:hAnsi="Atkinson Hyperlegible"/>
                                        <w:sz w:val="30"/>
                                        <w:szCs w:val="30"/>
                                      </w:rPr>
                                      <w:t>appelé-e</w:t>
                                    </w:r>
                                    <w:proofErr w:type="spellEnd"/>
                                    <w:r>
                                      <w:rPr>
                                        <w:rFonts w:ascii="Atkinson Hyperlegible" w:hAnsi="Atkinson Hyperlegible"/>
                                        <w:sz w:val="30"/>
                                        <w:szCs w:val="30"/>
                                      </w:rPr>
                                      <w:t xml:space="preserve"> à effectuer des tâches standard d’après instruction et à nous faire part de vos commentaires: qu'est-ce qui fonctionne bien et où avez-vous rencontré des difficultés? Pour effectuer ces tests, vous devez être à l'aise avec un PC et un </w:t>
                                    </w:r>
                                    <w:proofErr w:type="spellStart"/>
                                    <w:r>
                                      <w:rPr>
                                        <w:rFonts w:ascii="Atkinson Hyperlegible" w:hAnsi="Atkinson Hyperlegible"/>
                                        <w:sz w:val="30"/>
                                        <w:szCs w:val="30"/>
                                      </w:rPr>
                                      <w:t>smartphone</w:t>
                                    </w:r>
                                    <w:proofErr w:type="spellEnd"/>
                                    <w:r>
                                      <w:rPr>
                                        <w:rFonts w:ascii="Atkinson Hyperlegible" w:hAnsi="Atkinson Hyperlegible"/>
                                        <w:sz w:val="30"/>
                                        <w:szCs w:val="30"/>
                                      </w:rPr>
                                      <w:t>.</w:t>
                                    </w:r>
                                  </w:p>
                                  <w:p w:rsidR="00CC34EB" w:rsidRDefault="00CC34EB">
                                    <w:pPr>
                                      <w:pStyle w:val="default"/>
                                      <w:rPr>
                                        <w:rFonts w:ascii="Atkinson Hyperlegible" w:hAnsi="Atkinson Hyperlegible"/>
                                        <w:sz w:val="30"/>
                                        <w:szCs w:val="30"/>
                                      </w:rPr>
                                    </w:pPr>
                                  </w:p>
                                  <w:p w:rsidR="00CC34EB" w:rsidRDefault="00CC34EB">
                                    <w:pPr>
                                      <w:pStyle w:val="default"/>
                                      <w:rPr>
                                        <w:rFonts w:ascii="Atkinson Hyperlegible" w:hAnsi="Atkinson Hyperlegible"/>
                                        <w:sz w:val="30"/>
                                        <w:szCs w:val="30"/>
                                      </w:rPr>
                                    </w:pPr>
                                    <w:r>
                                      <w:rPr>
                                        <w:rFonts w:ascii="Atkinson Hyperlegible" w:hAnsi="Atkinson Hyperlegible"/>
                                        <w:sz w:val="30"/>
                                        <w:szCs w:val="30"/>
                                      </w:rPr>
                                      <w:t>Vous travaillez confortablement depuis chez vous. Aucune connaissance informatique particulière n'est requise. Les missions sont bien sûr rémunérées en conséquence.</w:t>
                                    </w:r>
                                  </w:p>
                                  <w:p w:rsidR="00CC34EB" w:rsidRDefault="00CC34EB">
                                    <w:pPr>
                                      <w:pStyle w:val="default"/>
                                      <w:rPr>
                                        <w:rFonts w:ascii="Atkinson Hyperlegible" w:hAnsi="Atkinson Hyperlegible"/>
                                        <w:sz w:val="30"/>
                                        <w:szCs w:val="30"/>
                                      </w:rPr>
                                    </w:pPr>
                                  </w:p>
                                  <w:p w:rsidR="00CC34EB" w:rsidRDefault="00CC34EB">
                                    <w:pPr>
                                      <w:pStyle w:val="default"/>
                                      <w:rPr>
                                        <w:rFonts w:ascii="Atkinson Hyperlegible" w:hAnsi="Atkinson Hyperlegible"/>
                                        <w:sz w:val="30"/>
                                        <w:szCs w:val="30"/>
                                      </w:rPr>
                                    </w:pPr>
                                    <w:r>
                                      <w:rPr>
                                        <w:rFonts w:ascii="Atkinson Hyperlegible" w:hAnsi="Atkinson Hyperlegible"/>
                                        <w:sz w:val="30"/>
                                        <w:szCs w:val="30"/>
                                      </w:rPr>
                                      <w:t xml:space="preserve">Si vous êtes </w:t>
                                    </w:r>
                                    <w:proofErr w:type="spellStart"/>
                                    <w:r>
                                      <w:rPr>
                                        <w:rFonts w:ascii="Atkinson Hyperlegible" w:hAnsi="Atkinson Hyperlegible"/>
                                        <w:sz w:val="30"/>
                                        <w:szCs w:val="30"/>
                                      </w:rPr>
                                      <w:t>intéressé-e</w:t>
                                    </w:r>
                                    <w:proofErr w:type="spellEnd"/>
                                    <w:r>
                                      <w:rPr>
                                        <w:rFonts w:ascii="Atkinson Hyperlegible" w:hAnsi="Atkinson Hyperlegible"/>
                                        <w:sz w:val="30"/>
                                        <w:szCs w:val="30"/>
                                      </w:rPr>
                                      <w:t xml:space="preserve">, n'hésitez pas à nous contacter: </w:t>
                                    </w:r>
                                    <w:hyperlink r:id="rId12" w:tooltip="E-mail tech@sbv-fsa.ch" w:history="1">
                                      <w:r>
                                        <w:rPr>
                                          <w:rStyle w:val="Lienhypertexte"/>
                                          <w:rFonts w:ascii="Atkinson Hyperlegible" w:hAnsi="Atkinson Hyperlegible"/>
                                          <w:sz w:val="30"/>
                                          <w:szCs w:val="30"/>
                                        </w:rPr>
                                        <w:t>tech@sbv-fsa.ch</w:t>
                                      </w:r>
                                    </w:hyperlink>
                                    <w:r>
                                      <w:rPr>
                                        <w:rFonts w:ascii="Atkinson Hyperlegible" w:hAnsi="Atkinson Hyperlegible"/>
                                        <w:sz w:val="30"/>
                                        <w:szCs w:val="30"/>
                                      </w:rPr>
                                      <w:t>. Luciano Butera et Nathalie Andres de T&amp;I se réjouissent de votre soutien.</w:t>
                                    </w:r>
                                  </w:p>
                                  <w:p w:rsidR="00CC34EB" w:rsidRDefault="00CC34EB">
                                    <w:pPr>
                                      <w:pStyle w:val="default"/>
                                      <w:rPr>
                                        <w:rFonts w:ascii="Atkinson Hyperlegible" w:hAnsi="Atkinson Hyperlegible"/>
                                        <w:sz w:val="30"/>
                                        <w:szCs w:val="30"/>
                                      </w:rPr>
                                    </w:pPr>
                                  </w:p>
                                  <w:p w:rsidR="00CC34EB" w:rsidRDefault="00CC34EB">
                                    <w:pPr>
                                      <w:pStyle w:val="default"/>
                                      <w:rPr>
                                        <w:rFonts w:ascii="Atkinson Hyperlegible" w:hAnsi="Atkinson Hyperlegible"/>
                                        <w:sz w:val="30"/>
                                        <w:szCs w:val="30"/>
                                      </w:rPr>
                                    </w:pPr>
                                    <w:hyperlink r:id="rId13" w:tooltip="Contactez-nous par e-mail" w:history="1">
                                      <w:r>
                                        <w:rPr>
                                          <w:rStyle w:val="Lienhypertexte"/>
                                          <w:rFonts w:ascii="Atkinson Hyperlegible" w:hAnsi="Atkinson Hyperlegible"/>
                                          <w:sz w:val="30"/>
                                          <w:szCs w:val="30"/>
                                        </w:rPr>
                                        <w:t>Contactez-nous dès maintenant par e-mail</w:t>
                                      </w:r>
                                    </w:hyperlink>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jc w:val="center"/>
                    <w:rPr>
                      <w:rFonts w:eastAsia="Times New Roman"/>
                      <w:color w:val="auto"/>
                      <w:sz w:val="20"/>
                      <w:szCs w:val="20"/>
                    </w:rPr>
                  </w:pPr>
                </w:p>
              </w:tc>
            </w:tr>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bl>
          <w:p w:rsidR="00CC34EB" w:rsidRDefault="00CC34EB">
            <w:pPr>
              <w:rPr>
                <w:rFonts w:eastAsia="Times New Roman"/>
                <w:vanish/>
              </w:rPr>
            </w:pPr>
          </w:p>
          <w:tbl>
            <w:tblPr>
              <w:tblW w:w="9000" w:type="dxa"/>
              <w:jc w:val="center"/>
              <w:tblCellMar>
                <w:left w:w="0" w:type="dxa"/>
                <w:right w:w="0" w:type="dxa"/>
              </w:tblCellMar>
              <w:tblLook w:val="04A0"/>
            </w:tblPr>
            <w:tblGrid>
              <w:gridCol w:w="9000"/>
            </w:tblGrid>
            <w:tr w:rsidR="00CC34EB">
              <w:trPr>
                <w:jc w:val="center"/>
              </w:trPr>
              <w:tc>
                <w:tcPr>
                  <w:tcW w:w="0" w:type="auto"/>
                  <w:shd w:val="clear" w:color="auto" w:fill="FFFFFF"/>
                </w:tcPr>
                <w:tbl>
                  <w:tblPr>
                    <w:tblW w:w="5000" w:type="pct"/>
                    <w:jc w:val="center"/>
                    <w:tblCellMar>
                      <w:left w:w="0" w:type="dxa"/>
                      <w:right w:w="0" w:type="dxa"/>
                    </w:tblCellMar>
                    <w:tblLook w:val="04A0"/>
                  </w:tblPr>
                  <w:tblGrid>
                    <w:gridCol w:w="9000"/>
                  </w:tblGrid>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5986"/>
                          <w:gridCol w:w="3014"/>
                        </w:tblGrid>
                        <w:tr w:rsidR="00CC34EB">
                          <w:tc>
                            <w:tcPr>
                              <w:tcW w:w="3300" w:type="pct"/>
                              <w:hideMark/>
                            </w:tcPr>
                            <w:tbl>
                              <w:tblPr>
                                <w:tblW w:w="5000" w:type="pct"/>
                                <w:tblCellMar>
                                  <w:left w:w="0" w:type="dxa"/>
                                  <w:right w:w="0" w:type="dxa"/>
                                </w:tblCellMar>
                                <w:tblLook w:val="04A0"/>
                              </w:tblPr>
                              <w:tblGrid>
                                <w:gridCol w:w="5986"/>
                              </w:tblGrid>
                              <w:tr w:rsidR="00CC34EB">
                                <w:tc>
                                  <w:tcPr>
                                    <w:tcW w:w="0" w:type="auto"/>
                                    <w:hideMark/>
                                  </w:tcPr>
                                  <w:tbl>
                                    <w:tblPr>
                                      <w:tblW w:w="5000" w:type="pct"/>
                                      <w:tblCellMar>
                                        <w:left w:w="0" w:type="dxa"/>
                                        <w:right w:w="0" w:type="dxa"/>
                                      </w:tblCellMar>
                                      <w:tblLook w:val="04A0"/>
                                    </w:tblPr>
                                    <w:tblGrid>
                                      <w:gridCol w:w="5986"/>
                                    </w:tblGrid>
                                    <w:tr w:rsidR="00CC34EB">
                                      <w:tc>
                                        <w:tcPr>
                                          <w:tcW w:w="0" w:type="auto"/>
                                          <w:vAlign w:val="center"/>
                                          <w:hideMark/>
                                        </w:tcPr>
                                        <w:tbl>
                                          <w:tblPr>
                                            <w:tblW w:w="5000" w:type="pct"/>
                                            <w:tblCellMar>
                                              <w:left w:w="0" w:type="dxa"/>
                                              <w:right w:w="0" w:type="dxa"/>
                                            </w:tblCellMar>
                                            <w:tblLook w:val="04A0"/>
                                          </w:tblPr>
                                          <w:tblGrid>
                                            <w:gridCol w:w="5986"/>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42"/>
                                                    <w:szCs w:val="42"/>
                                                  </w:rPr>
                                                  <w:t>Une étudiante invente un dispositif d’aide à la natation pour les personnes aveugles et reçoit une distinction</w:t>
                                                </w:r>
                                              </w:p>
                                            </w:tc>
                                          </w:tr>
                                          <w:tr w:rsidR="00CC34EB">
                                            <w:trPr>
                                              <w:trHeight w:val="60"/>
                                            </w:trPr>
                                            <w:tc>
                                              <w:tcPr>
                                                <w:tcW w:w="0" w:type="auto"/>
                                                <w:vAlign w:val="center"/>
                                                <w:hideMark/>
                                              </w:tcPr>
                                              <w:p w:rsidR="00CC34EB" w:rsidRDefault="00CC34EB">
                                                <w:pPr>
                                                  <w:spacing w:line="75" w:lineRule="exact"/>
                                                  <w:rPr>
                                                    <w:rFonts w:eastAsia="Times New Roman"/>
                                                    <w:sz w:val="8"/>
                                                    <w:szCs w:val="8"/>
                                                  </w:rPr>
                                                </w:pPr>
                                                <w:r>
                                                  <w:rPr>
                                                    <w:rFonts w:eastAsia="Times New Roman"/>
                                                    <w:sz w:val="8"/>
                                                    <w:szCs w:val="8"/>
                                                  </w:rPr>
                                                  <w:softHyphen/>
                                                </w:r>
                                              </w:p>
                                            </w:tc>
                                          </w:tr>
                                        </w:tbl>
                                        <w:p w:rsidR="00CC34EB" w:rsidRDefault="00CC34EB">
                                          <w:pPr>
                                            <w:rPr>
                                              <w:rFonts w:eastAsia="Times New Roman"/>
                                              <w:color w:val="auto"/>
                                              <w:sz w:val="20"/>
                                              <w:szCs w:val="20"/>
                                            </w:rPr>
                                          </w:pPr>
                                        </w:p>
                                      </w:tc>
                                    </w:tr>
                                    <w:tr w:rsidR="00CC34EB">
                                      <w:tc>
                                        <w:tcPr>
                                          <w:tcW w:w="0" w:type="auto"/>
                                          <w:vAlign w:val="center"/>
                                          <w:hideMark/>
                                        </w:tcPr>
                                        <w:tbl>
                                          <w:tblPr>
                                            <w:tblW w:w="5000" w:type="pct"/>
                                            <w:tblCellMar>
                                              <w:left w:w="0" w:type="dxa"/>
                                              <w:right w:w="0" w:type="dxa"/>
                                            </w:tblCellMar>
                                            <w:tblLook w:val="04A0"/>
                                          </w:tblPr>
                                          <w:tblGrid>
                                            <w:gridCol w:w="5986"/>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27"/>
                                                    <w:szCs w:val="27"/>
                                                  </w:rPr>
                                                  <w:t xml:space="preserve">Que faire lorsqu’on ne voit pas le bout du couloir de nage? </w:t>
                                                </w:r>
                                                <w:proofErr w:type="spellStart"/>
                                                <w:r>
                                                  <w:rPr>
                                                    <w:rFonts w:ascii="Atkinson Hyperlegible" w:hAnsi="Atkinson Hyperlegible"/>
                                                    <w:sz w:val="27"/>
                                                    <w:szCs w:val="27"/>
                                                  </w:rPr>
                                                  <w:t>Selina</w:t>
                                                </w:r>
                                                <w:proofErr w:type="spellEnd"/>
                                                <w:r>
                                                  <w:rPr>
                                                    <w:rFonts w:ascii="Atkinson Hyperlegible" w:hAnsi="Atkinson Hyperlegible"/>
                                                    <w:sz w:val="27"/>
                                                    <w:szCs w:val="27"/>
                                                  </w:rPr>
                                                  <w:t xml:space="preserve"> </w:t>
                                                </w:r>
                                                <w:proofErr w:type="spellStart"/>
                                                <w:r>
                                                  <w:rPr>
                                                    <w:rFonts w:ascii="Atkinson Hyperlegible" w:hAnsi="Atkinson Hyperlegible"/>
                                                    <w:sz w:val="27"/>
                                                    <w:szCs w:val="27"/>
                                                  </w:rPr>
                                                  <w:t>Przyjemski</w:t>
                                                </w:r>
                                                <w:proofErr w:type="spellEnd"/>
                                                <w:r>
                                                  <w:rPr>
                                                    <w:rFonts w:ascii="Atkinson Hyperlegible" w:hAnsi="Atkinson Hyperlegible"/>
                                                    <w:sz w:val="27"/>
                                                    <w:szCs w:val="27"/>
                                                  </w:rPr>
                                                  <w:t xml:space="preserve">, diplômée de la filière Electrotechnique et Technologies de l’information de </w:t>
                                                </w:r>
                                                <w:r>
                                                  <w:rPr>
                                                    <w:rFonts w:ascii="Atkinson Hyperlegible" w:hAnsi="Atkinson Hyperlegible"/>
                                                    <w:sz w:val="27"/>
                                                    <w:szCs w:val="27"/>
                                                  </w:rPr>
                                                  <w:lastRenderedPageBreak/>
                                                  <w:t xml:space="preserve">la Haute École spécialisée de la Suisse du Nord-Ouest </w:t>
                                                </w:r>
                                                <w:proofErr w:type="spellStart"/>
                                                <w:r>
                                                  <w:rPr>
                                                    <w:rFonts w:ascii="Atkinson Hyperlegible" w:hAnsi="Atkinson Hyperlegible"/>
                                                    <w:sz w:val="27"/>
                                                    <w:szCs w:val="27"/>
                                                  </w:rPr>
                                                  <w:t>FHNW</w:t>
                                                </w:r>
                                                <w:proofErr w:type="spellEnd"/>
                                                <w:r>
                                                  <w:rPr>
                                                    <w:rFonts w:ascii="Atkinson Hyperlegible" w:hAnsi="Atkinson Hyperlegible"/>
                                                    <w:sz w:val="27"/>
                                                    <w:szCs w:val="27"/>
                                                  </w:rPr>
                                                  <w:t xml:space="preserve">, a trouvé la solution et remporte le prix du meilleur travail de </w:t>
                                                </w:r>
                                                <w:proofErr w:type="spellStart"/>
                                                <w:r>
                                                  <w:rPr>
                                                    <w:rFonts w:ascii="Atkinson Hyperlegible" w:hAnsi="Atkinson Hyperlegible"/>
                                                    <w:sz w:val="27"/>
                                                    <w:szCs w:val="27"/>
                                                  </w:rPr>
                                                  <w:t>Bachelor</w:t>
                                                </w:r>
                                                <w:proofErr w:type="spellEnd"/>
                                                <w:r>
                                                  <w:rPr>
                                                    <w:rFonts w:ascii="Atkinson Hyperlegible" w:hAnsi="Atkinson Hyperlegible"/>
                                                    <w:sz w:val="27"/>
                                                    <w:szCs w:val="27"/>
                                                  </w:rPr>
                                                  <w:t xml:space="preserve">, ainsi que la nomination pour le prestigieux Siemens Excellence </w:t>
                                                </w:r>
                                                <w:proofErr w:type="spellStart"/>
                                                <w:r>
                                                  <w:rPr>
                                                    <w:rFonts w:ascii="Atkinson Hyperlegible" w:hAnsi="Atkinson Hyperlegible"/>
                                                    <w:sz w:val="27"/>
                                                    <w:szCs w:val="27"/>
                                                  </w:rPr>
                                                  <w:t>Award</w:t>
                                                </w:r>
                                                <w:proofErr w:type="spellEnd"/>
                                                <w:r>
                                                  <w:rPr>
                                                    <w:rFonts w:ascii="Atkinson Hyperlegible" w:hAnsi="Atkinson Hyperlegible"/>
                                                    <w:sz w:val="27"/>
                                                    <w:szCs w:val="27"/>
                                                  </w:rPr>
                                                  <w:t xml:space="preserve"> 2026.</w:t>
                                                </w:r>
                                              </w:p>
                                              <w:p w:rsidR="00CC34EB" w:rsidRDefault="00CC34EB">
                                                <w:pPr>
                                                  <w:pStyle w:val="NormalWeb"/>
                                                  <w:rPr>
                                                    <w:rFonts w:ascii="Atkinson Hyperlegible" w:hAnsi="Atkinson Hyperlegible"/>
                                                    <w:sz w:val="30"/>
                                                    <w:szCs w:val="30"/>
                                                  </w:rPr>
                                                </w:pPr>
                                                <w:r>
                                                  <w:rPr>
                                                    <w:rFonts w:ascii="Atkinson Hyperlegible" w:hAnsi="Atkinson Hyperlegible"/>
                                                    <w:sz w:val="30"/>
                                                    <w:szCs w:val="30"/>
                                                  </w:rPr>
                                                  <w:t> </w:t>
                                                </w:r>
                                              </w:p>
                                              <w:p w:rsidR="00CC34EB" w:rsidRDefault="00CC34EB">
                                                <w:pPr>
                                                  <w:pStyle w:val="NormalWeb"/>
                                                  <w:rPr>
                                                    <w:rFonts w:ascii="Atkinson Hyperlegible" w:hAnsi="Atkinson Hyperlegible"/>
                                                    <w:sz w:val="30"/>
                                                    <w:szCs w:val="30"/>
                                                  </w:rPr>
                                                </w:pPr>
                                                <w:hyperlink r:id="rId14" w:tgtFrame="_blank" w:tooltip="Vers l'article " w:history="1">
                                                  <w:r>
                                                    <w:rPr>
                                                      <w:rStyle w:val="Lienhypertexte"/>
                                                      <w:rFonts w:ascii="Atkinson Hyperlegible" w:hAnsi="Atkinson Hyperlegible"/>
                                                      <w:sz w:val="30"/>
                                                      <w:szCs w:val="30"/>
                                                    </w:rPr>
                                                    <w:t>Vers l'article</w:t>
                                                  </w:r>
                                                </w:hyperlink>
                                              </w:p>
                                            </w:tc>
                                          </w:tr>
                                          <w:tr w:rsidR="00CC34EB">
                                            <w:trPr>
                                              <w:trHeight w:val="180"/>
                                            </w:trPr>
                                            <w:tc>
                                              <w:tcPr>
                                                <w:tcW w:w="0" w:type="auto"/>
                                                <w:vAlign w:val="center"/>
                                                <w:hideMark/>
                                              </w:tcPr>
                                              <w:p w:rsidR="00CC34EB" w:rsidRDefault="00CC34EB">
                                                <w:pPr>
                                                  <w:spacing w:line="225" w:lineRule="exact"/>
                                                  <w:rPr>
                                                    <w:rFonts w:eastAsia="Times New Roman"/>
                                                    <w:sz w:val="23"/>
                                                    <w:szCs w:val="23"/>
                                                  </w:rPr>
                                                </w:pPr>
                                                <w:r>
                                                  <w:rPr>
                                                    <w:rFonts w:eastAsia="Times New Roman"/>
                                                    <w:sz w:val="23"/>
                                                    <w:szCs w:val="23"/>
                                                  </w:rPr>
                                                  <w:lastRenderedPageBreak/>
                                                  <w:softHyphen/>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14"/>
                              </w:tblGrid>
                              <w:tr w:rsidR="00CC34EB">
                                <w:tc>
                                  <w:tcPr>
                                    <w:tcW w:w="0" w:type="auto"/>
                                    <w:hideMark/>
                                  </w:tcPr>
                                  <w:tbl>
                                    <w:tblPr>
                                      <w:tblW w:w="5000" w:type="pct"/>
                                      <w:tblCellMar>
                                        <w:left w:w="0" w:type="dxa"/>
                                        <w:right w:w="0" w:type="dxa"/>
                                      </w:tblCellMar>
                                      <w:tblLook w:val="04A0"/>
                                    </w:tblPr>
                                    <w:tblGrid>
                                      <w:gridCol w:w="3014"/>
                                    </w:tblGrid>
                                    <w:tr w:rsidR="00CC34EB">
                                      <w:tc>
                                        <w:tcPr>
                                          <w:tcW w:w="0" w:type="auto"/>
                                          <w:vAlign w:val="center"/>
                                          <w:hideMark/>
                                        </w:tcPr>
                                        <w:tbl>
                                          <w:tblPr>
                                            <w:tblW w:w="2985" w:type="dxa"/>
                                            <w:tblCellMar>
                                              <w:left w:w="0" w:type="dxa"/>
                                              <w:right w:w="0" w:type="dxa"/>
                                            </w:tblCellMar>
                                            <w:tblLook w:val="04A0"/>
                                          </w:tblPr>
                                          <w:tblGrid>
                                            <w:gridCol w:w="3014"/>
                                          </w:tblGrid>
                                          <w:tr w:rsidR="00CC34EB">
                                            <w:tc>
                                              <w:tcPr>
                                                <w:tcW w:w="0" w:type="auto"/>
                                                <w:tcMar>
                                                  <w:top w:w="0" w:type="dxa"/>
                                                  <w:left w:w="300" w:type="dxa"/>
                                                  <w:bottom w:w="0" w:type="dxa"/>
                                                  <w:right w:w="0" w:type="dxa"/>
                                                </w:tcMar>
                                                <w:vAlign w:val="center"/>
                                                <w:hideMark/>
                                              </w:tcPr>
                                              <w:p w:rsidR="00CC34EB" w:rsidRDefault="00CC34EB">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lastRenderedPageBreak/>
                                                  <w:drawing>
                                                    <wp:inline distT="0" distB="0" distL="0" distR="0">
                                                      <wp:extent cx="1704340" cy="1704340"/>
                                                      <wp:effectExtent l="19050" t="0" r="0" b="0"/>
                                                      <wp:docPr id="4" name="Image 4" descr="Femme au bord d'une piscine couverte, avec des câbles rouges sur la 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mme au bord d'une piscine couverte, avec des câbles rouges sur la tête."/>
                                                              <pic:cNvPicPr>
                                                                <a:picLocks noChangeAspect="1" noChangeArrowheads="1"/>
                                                              </pic:cNvPicPr>
                                                            </pic:nvPicPr>
                                                            <pic:blipFill>
                                                              <a:blip r:embed="rId15" cstate="print"/>
                                                              <a:srcRect/>
                                                              <a:stretch>
                                                                <a:fillRect/>
                                                              </a:stretch>
                                                            </pic:blipFill>
                                                            <pic:spPr bwMode="auto">
                                                              <a:xfrm>
                                                                <a:off x="0" y="0"/>
                                                                <a:ext cx="1704340" cy="1704340"/>
                                                              </a:xfrm>
                                                              <a:prstGeom prst="rect">
                                                                <a:avLst/>
                                                              </a:prstGeom>
                                                              <a:noFill/>
                                                              <a:ln w="9525">
                                                                <a:noFill/>
                                                                <a:miter lim="800000"/>
                                                                <a:headEnd/>
                                                                <a:tailEnd/>
                                                              </a:ln>
                                                            </pic:spPr>
                                                          </pic:pic>
                                                        </a:graphicData>
                                                      </a:graphic>
                                                    </wp:inline>
                                                  </w:drawing>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00"/>
                  </w:tblGrid>
                  <w:tr w:rsidR="00CC34EB">
                    <w:trPr>
                      <w:trHeight w:val="348"/>
                      <w:jc w:val="center"/>
                    </w:trPr>
                    <w:tc>
                      <w:tcPr>
                        <w:tcW w:w="0" w:type="auto"/>
                        <w:vAlign w:val="center"/>
                        <w:hideMark/>
                      </w:tcPr>
                      <w:p w:rsidR="00CC34EB" w:rsidRDefault="00CC34EB">
                        <w:pPr>
                          <w:spacing w:line="435" w:lineRule="exact"/>
                          <w:rPr>
                            <w:rFonts w:eastAsia="Times New Roman"/>
                            <w:sz w:val="44"/>
                            <w:szCs w:val="44"/>
                          </w:rPr>
                        </w:pPr>
                        <w:r>
                          <w:rPr>
                            <w:rFonts w:eastAsia="Times New Roman"/>
                            <w:sz w:val="44"/>
                            <w:szCs w:val="44"/>
                          </w:rPr>
                          <w:softHyphen/>
                        </w:r>
                      </w:p>
                    </w:tc>
                  </w:tr>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CC34EB">
                          <w:tc>
                            <w:tcPr>
                              <w:tcW w:w="5000" w:type="pct"/>
                              <w:hideMark/>
                            </w:tcPr>
                            <w:tbl>
                              <w:tblPr>
                                <w:tblW w:w="5000" w:type="pct"/>
                                <w:tblCellMar>
                                  <w:left w:w="0" w:type="dxa"/>
                                  <w:right w:w="0" w:type="dxa"/>
                                </w:tblCellMar>
                                <w:tblLook w:val="04A0"/>
                              </w:tblPr>
                              <w:tblGrid>
                                <w:gridCol w:w="9000"/>
                              </w:tblGrid>
                              <w:tr w:rsidR="00CC34EB">
                                <w:tc>
                                  <w:tcPr>
                                    <w:tcW w:w="0" w:type="auto"/>
                                    <w:hideMark/>
                                  </w:tcPr>
                                  <w:tbl>
                                    <w:tblPr>
                                      <w:tblW w:w="5000" w:type="pct"/>
                                      <w:tblCellMar>
                                        <w:left w:w="0" w:type="dxa"/>
                                        <w:right w:w="0" w:type="dxa"/>
                                      </w:tblCellMar>
                                      <w:tblLook w:val="04A0"/>
                                    </w:tblPr>
                                    <w:tblGrid>
                                      <w:gridCol w:w="9000"/>
                                    </w:tblGrid>
                                    <w:tr w:rsidR="00CC34EB">
                                      <w:tc>
                                        <w:tcPr>
                                          <w:tcW w:w="0" w:type="auto"/>
                                          <w:vAlign w:val="center"/>
                                          <w:hideMark/>
                                        </w:tcPr>
                                        <w:tbl>
                                          <w:tblPr>
                                            <w:tblW w:w="5000" w:type="pct"/>
                                            <w:tblCellMar>
                                              <w:left w:w="0" w:type="dxa"/>
                                              <w:right w:w="0" w:type="dxa"/>
                                            </w:tblCellMar>
                                            <w:tblLook w:val="04A0"/>
                                          </w:tblPr>
                                          <w:tblGrid>
                                            <w:gridCol w:w="9000"/>
                                          </w:tblGrid>
                                          <w:tr w:rsidR="00CC34EB">
                                            <w:tc>
                                              <w:tcPr>
                                                <w:tcW w:w="0" w:type="auto"/>
                                                <w:hideMark/>
                                              </w:tcPr>
                                              <w:p w:rsidR="00CC34EB" w:rsidRDefault="00CC34EB">
                                                <w:pPr>
                                                  <w:pStyle w:val="NormalWeb"/>
                                                  <w:rPr>
                                                    <w:rFonts w:ascii="Atkinson Hyperlegible" w:hAnsi="Atkinson Hyperlegible"/>
                                                    <w:sz w:val="30"/>
                                                    <w:szCs w:val="30"/>
                                                  </w:rPr>
                                                </w:pPr>
                                                <w:proofErr w:type="spellStart"/>
                                                <w:r>
                                                  <w:rPr>
                                                    <w:rFonts w:ascii="Atkinson Hyperlegible" w:hAnsi="Atkinson Hyperlegible"/>
                                                    <w:sz w:val="42"/>
                                                    <w:szCs w:val="42"/>
                                                  </w:rPr>
                                                  <w:t>GREASE</w:t>
                                                </w:r>
                                                <w:proofErr w:type="spellEnd"/>
                                                <w:r>
                                                  <w:rPr>
                                                    <w:rFonts w:ascii="Atkinson Hyperlegible" w:hAnsi="Atkinson Hyperlegible"/>
                                                    <w:sz w:val="42"/>
                                                    <w:szCs w:val="42"/>
                                                  </w:rPr>
                                                  <w:t xml:space="preserve"> avec </w:t>
                                                </w:r>
                                                <w:proofErr w:type="spellStart"/>
                                                <w:r>
                                                  <w:rPr>
                                                    <w:rFonts w:ascii="Atkinson Hyperlegible" w:hAnsi="Atkinson Hyperlegible"/>
                                                    <w:sz w:val="42"/>
                                                    <w:szCs w:val="42"/>
                                                  </w:rPr>
                                                  <w:t>audiodescription</w:t>
                                                </w:r>
                                                <w:proofErr w:type="spellEnd"/>
                                                <w:r>
                                                  <w:rPr>
                                                    <w:rFonts w:ascii="Atkinson Hyperlegible" w:hAnsi="Atkinson Hyperlegible"/>
                                                    <w:sz w:val="42"/>
                                                    <w:szCs w:val="42"/>
                                                  </w:rPr>
                                                  <w:t xml:space="preserve"> aux </w:t>
                                                </w:r>
                                                <w:proofErr w:type="spellStart"/>
                                                <w:r>
                                                  <w:rPr>
                                                    <w:rFonts w:ascii="Atkinson Hyperlegible" w:hAnsi="Atkinson Hyperlegible"/>
                                                    <w:sz w:val="42"/>
                                                    <w:szCs w:val="42"/>
                                                  </w:rPr>
                                                  <w:t>Thunerseespiele</w:t>
                                                </w:r>
                                                <w:proofErr w:type="spellEnd"/>
                                                <w:r>
                                                  <w:rPr>
                                                    <w:rFonts w:ascii="Atkinson Hyperlegible" w:hAnsi="Atkinson Hyperlegible"/>
                                                    <w:sz w:val="42"/>
                                                    <w:szCs w:val="42"/>
                                                  </w:rPr>
                                                  <w:t xml:space="preserve"> (Festival du lac de Thoune)</w:t>
                                                </w:r>
                                              </w:p>
                                            </w:tc>
                                          </w:tr>
                                          <w:tr w:rsidR="00CC34EB">
                                            <w:trPr>
                                              <w:trHeight w:val="60"/>
                                            </w:trPr>
                                            <w:tc>
                                              <w:tcPr>
                                                <w:tcW w:w="0" w:type="auto"/>
                                                <w:vAlign w:val="center"/>
                                                <w:hideMark/>
                                              </w:tcPr>
                                              <w:p w:rsidR="00CC34EB" w:rsidRDefault="00CC34EB">
                                                <w:pPr>
                                                  <w:spacing w:line="75" w:lineRule="exact"/>
                                                  <w:rPr>
                                                    <w:rFonts w:eastAsia="Times New Roman"/>
                                                    <w:sz w:val="8"/>
                                                    <w:szCs w:val="8"/>
                                                  </w:rPr>
                                                </w:pPr>
                                                <w:r>
                                                  <w:rPr>
                                                    <w:rFonts w:eastAsia="Times New Roman"/>
                                                    <w:sz w:val="8"/>
                                                    <w:szCs w:val="8"/>
                                                  </w:rPr>
                                                  <w:softHyphen/>
                                                </w:r>
                                              </w:p>
                                            </w:tc>
                                          </w:tr>
                                        </w:tbl>
                                        <w:p w:rsidR="00CC34EB" w:rsidRDefault="00CC34EB">
                                          <w:pPr>
                                            <w:rPr>
                                              <w:rFonts w:eastAsia="Times New Roman"/>
                                              <w:color w:val="auto"/>
                                              <w:sz w:val="20"/>
                                              <w:szCs w:val="20"/>
                                            </w:rPr>
                                          </w:pPr>
                                        </w:p>
                                      </w:tc>
                                    </w:tr>
                                    <w:tr w:rsidR="00CC34EB">
                                      <w:tc>
                                        <w:tcPr>
                                          <w:tcW w:w="0" w:type="auto"/>
                                          <w:vAlign w:val="center"/>
                                          <w:hideMark/>
                                        </w:tcPr>
                                        <w:tbl>
                                          <w:tblPr>
                                            <w:tblW w:w="5000" w:type="pct"/>
                                            <w:tblCellMar>
                                              <w:left w:w="0" w:type="dxa"/>
                                              <w:right w:w="0" w:type="dxa"/>
                                            </w:tblCellMar>
                                            <w:tblLook w:val="04A0"/>
                                          </w:tblPr>
                                          <w:tblGrid>
                                            <w:gridCol w:w="9000"/>
                                          </w:tblGrid>
                                          <w:tr w:rsidR="00CC34EB">
                                            <w:tc>
                                              <w:tcPr>
                                                <w:tcW w:w="0" w:type="auto"/>
                                                <w:hideMark/>
                                              </w:tcPr>
                                              <w:p w:rsidR="00CC34EB" w:rsidRDefault="00CC34EB">
                                                <w:pPr>
                                                  <w:pStyle w:val="default"/>
                                                  <w:rPr>
                                                    <w:rFonts w:ascii="Atkinson Hyperlegible" w:hAnsi="Atkinson Hyperlegible"/>
                                                    <w:sz w:val="30"/>
                                                    <w:szCs w:val="30"/>
                                                  </w:rPr>
                                                </w:pPr>
                                                <w:r>
                                                  <w:rPr>
                                                    <w:rFonts w:ascii="Atkinson Hyperlegible" w:hAnsi="Atkinson Hyperlegible"/>
                                                    <w:sz w:val="27"/>
                                                    <w:szCs w:val="27"/>
                                                  </w:rPr>
                                                  <w:t xml:space="preserve">Cette année encore, les </w:t>
                                                </w:r>
                                                <w:proofErr w:type="spellStart"/>
                                                <w:r>
                                                  <w:rPr>
                                                    <w:rFonts w:ascii="Atkinson Hyperlegible" w:hAnsi="Atkinson Hyperlegible"/>
                                                    <w:sz w:val="27"/>
                                                    <w:szCs w:val="27"/>
                                                  </w:rPr>
                                                  <w:t>Thunerseespiele</w:t>
                                                </w:r>
                                                <w:proofErr w:type="spellEnd"/>
                                                <w:r>
                                                  <w:rPr>
                                                    <w:rFonts w:ascii="Atkinson Hyperlegible" w:hAnsi="Atkinson Hyperlegible"/>
                                                    <w:sz w:val="27"/>
                                                    <w:szCs w:val="27"/>
                                                  </w:rPr>
                                                  <w:t xml:space="preserve"> proposent l'</w:t>
                                                </w:r>
                                                <w:proofErr w:type="spellStart"/>
                                                <w:r>
                                                  <w:rPr>
                                                    <w:rFonts w:ascii="Atkinson Hyperlegible" w:hAnsi="Atkinson Hyperlegible"/>
                                                    <w:sz w:val="27"/>
                                                    <w:szCs w:val="27"/>
                                                  </w:rPr>
                                                  <w:t>audiodescription</w:t>
                                                </w:r>
                                                <w:proofErr w:type="spellEnd"/>
                                                <w:r>
                                                  <w:rPr>
                                                    <w:rFonts w:ascii="Atkinson Hyperlegible" w:hAnsi="Atkinson Hyperlegible"/>
                                                    <w:sz w:val="27"/>
                                                    <w:szCs w:val="27"/>
                                                  </w:rPr>
                                                  <w:t xml:space="preserve"> pour leur grande comédie musicale annuelle en plein air. L'offre fonctionne via l'application «</w:t>
                                                </w:r>
                                                <w:proofErr w:type="spellStart"/>
                                                <w:r>
                                                  <w:rPr>
                                                    <w:rFonts w:ascii="Atkinson Hyperlegible" w:hAnsi="Atkinson Hyperlegible"/>
                                                    <w:sz w:val="27"/>
                                                    <w:szCs w:val="27"/>
                                                  </w:rPr>
                                                  <w:t>Sennheiser</w:t>
                                                </w:r>
                                                <w:proofErr w:type="spellEnd"/>
                                                <w:r>
                                                  <w:rPr>
                                                    <w:rFonts w:ascii="Atkinson Hyperlegible" w:hAnsi="Atkinson Hyperlegible"/>
                                                    <w:sz w:val="27"/>
                                                    <w:szCs w:val="27"/>
                                                  </w:rPr>
                                                  <w:t xml:space="preserve"> </w:t>
                                                </w:r>
                                                <w:proofErr w:type="spellStart"/>
                                                <w:r>
                                                  <w:rPr>
                                                    <w:rFonts w:ascii="Atkinson Hyperlegible" w:hAnsi="Atkinson Hyperlegible"/>
                                                    <w:sz w:val="27"/>
                                                    <w:szCs w:val="27"/>
                                                  </w:rPr>
                                                  <w:t>MobileConnect</w:t>
                                                </w:r>
                                                <w:proofErr w:type="spellEnd"/>
                                                <w:r>
                                                  <w:rPr>
                                                    <w:rFonts w:ascii="Atkinson Hyperlegible" w:hAnsi="Atkinson Hyperlegible"/>
                                                    <w:sz w:val="27"/>
                                                    <w:szCs w:val="27"/>
                                                  </w:rPr>
                                                  <w:t>».</w:t>
                                                </w:r>
                                              </w:p>
                                              <w:p w:rsidR="00CC34EB" w:rsidRDefault="00CC34EB">
                                                <w:pPr>
                                                  <w:pStyle w:val="NormalWeb"/>
                                                  <w:rPr>
                                                    <w:rFonts w:ascii="Atkinson Hyperlegible" w:hAnsi="Atkinson Hyperlegible"/>
                                                    <w:sz w:val="30"/>
                                                    <w:szCs w:val="30"/>
                                                  </w:rPr>
                                                </w:pPr>
                                                <w:r>
                                                  <w:rPr>
                                                    <w:rFonts w:ascii="Atkinson Hyperlegible" w:hAnsi="Atkinson Hyperlegible"/>
                                                    <w:sz w:val="30"/>
                                                    <w:szCs w:val="30"/>
                                                  </w:rPr>
                                                  <w:t> </w:t>
                                                </w:r>
                                              </w:p>
                                              <w:p w:rsidR="00CC34EB" w:rsidRDefault="00CC34EB">
                                                <w:pPr>
                                                  <w:pStyle w:val="NormalWeb"/>
                                                  <w:rPr>
                                                    <w:rFonts w:ascii="Atkinson Hyperlegible" w:hAnsi="Atkinson Hyperlegible"/>
                                                    <w:sz w:val="30"/>
                                                    <w:szCs w:val="30"/>
                                                  </w:rPr>
                                                </w:pPr>
                                                <w:hyperlink r:id="rId16" w:tgtFrame="_blank" w:tooltip="Vers l'article " w:history="1">
                                                  <w:r>
                                                    <w:rPr>
                                                      <w:rStyle w:val="Lienhypertexte"/>
                                                      <w:rFonts w:ascii="Atkinson Hyperlegible" w:hAnsi="Atkinson Hyperlegible"/>
                                                      <w:sz w:val="30"/>
                                                      <w:szCs w:val="30"/>
                                                    </w:rPr>
                                                    <w:t>Vers l'article</w:t>
                                                  </w:r>
                                                </w:hyperlink>
                                              </w:p>
                                            </w:tc>
                                          </w:tr>
                                          <w:tr w:rsidR="00CC34EB">
                                            <w:trPr>
                                              <w:trHeight w:val="180"/>
                                            </w:trPr>
                                            <w:tc>
                                              <w:tcPr>
                                                <w:tcW w:w="0" w:type="auto"/>
                                                <w:vAlign w:val="center"/>
                                                <w:hideMark/>
                                              </w:tcPr>
                                              <w:p w:rsidR="00CC34EB" w:rsidRDefault="00CC34EB">
                                                <w:pPr>
                                                  <w:spacing w:line="225" w:lineRule="exact"/>
                                                  <w:rPr>
                                                    <w:rFonts w:eastAsia="Times New Roman"/>
                                                    <w:sz w:val="23"/>
                                                    <w:szCs w:val="23"/>
                                                  </w:rPr>
                                                </w:pPr>
                                                <w:r>
                                                  <w:rPr>
                                                    <w:rFonts w:eastAsia="Times New Roman"/>
                                                    <w:sz w:val="23"/>
                                                    <w:szCs w:val="23"/>
                                                  </w:rPr>
                                                  <w:softHyphen/>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vanish/>
                    </w:rPr>
                  </w:pPr>
                </w:p>
                <w:tbl>
                  <w:tblPr>
                    <w:tblW w:w="5000" w:type="pct"/>
                    <w:jc w:val="center"/>
                    <w:tblCellMar>
                      <w:left w:w="0" w:type="dxa"/>
                      <w:right w:w="0" w:type="dxa"/>
                    </w:tblCellMar>
                    <w:tblLook w:val="04A0"/>
                  </w:tblPr>
                  <w:tblGrid>
                    <w:gridCol w:w="9000"/>
                  </w:tblGrid>
                  <w:tr w:rsidR="00CC34EB">
                    <w:trPr>
                      <w:trHeight w:val="360"/>
                      <w:jc w:val="center"/>
                    </w:trPr>
                    <w:tc>
                      <w:tcPr>
                        <w:tcW w:w="0" w:type="auto"/>
                        <w:vAlign w:val="center"/>
                        <w:hideMark/>
                      </w:tcPr>
                      <w:p w:rsidR="00CC34EB" w:rsidRDefault="00CC34EB">
                        <w:pPr>
                          <w:spacing w:line="450" w:lineRule="exact"/>
                          <w:rPr>
                            <w:rFonts w:eastAsia="Times New Roman"/>
                            <w:sz w:val="45"/>
                            <w:szCs w:val="45"/>
                          </w:rPr>
                        </w:pPr>
                        <w:r>
                          <w:rPr>
                            <w:rFonts w:eastAsia="Times New Roman"/>
                            <w:sz w:val="45"/>
                            <w:szCs w:val="45"/>
                          </w:rPr>
                          <w:softHyphen/>
                        </w:r>
                      </w:p>
                    </w:tc>
                  </w:tr>
                  <w:tr w:rsidR="00CC34EB">
                    <w:trPr>
                      <w:jc w:val="center"/>
                    </w:trPr>
                    <w:tc>
                      <w:tcPr>
                        <w:tcW w:w="0" w:type="auto"/>
                        <w:shd w:val="clear" w:color="auto" w:fill="FFFFFF"/>
                        <w:vAlign w:val="center"/>
                        <w:hideMark/>
                      </w:tcPr>
                      <w:tbl>
                        <w:tblPr>
                          <w:tblW w:w="5000" w:type="pct"/>
                          <w:tblCellMar>
                            <w:left w:w="0" w:type="dxa"/>
                            <w:right w:w="0" w:type="dxa"/>
                          </w:tblCellMar>
                          <w:tblLook w:val="04A0"/>
                        </w:tblPr>
                        <w:tblGrid>
                          <w:gridCol w:w="5986"/>
                          <w:gridCol w:w="3014"/>
                        </w:tblGrid>
                        <w:tr w:rsidR="00CC34EB">
                          <w:tc>
                            <w:tcPr>
                              <w:tcW w:w="3300" w:type="pct"/>
                              <w:hideMark/>
                            </w:tcPr>
                            <w:tbl>
                              <w:tblPr>
                                <w:tblW w:w="5000" w:type="pct"/>
                                <w:tblCellMar>
                                  <w:left w:w="0" w:type="dxa"/>
                                  <w:right w:w="0" w:type="dxa"/>
                                </w:tblCellMar>
                                <w:tblLook w:val="04A0"/>
                              </w:tblPr>
                              <w:tblGrid>
                                <w:gridCol w:w="5986"/>
                              </w:tblGrid>
                              <w:tr w:rsidR="00CC34EB">
                                <w:tc>
                                  <w:tcPr>
                                    <w:tcW w:w="0" w:type="auto"/>
                                    <w:hideMark/>
                                  </w:tcPr>
                                  <w:tbl>
                                    <w:tblPr>
                                      <w:tblW w:w="5000" w:type="pct"/>
                                      <w:tblCellMar>
                                        <w:left w:w="0" w:type="dxa"/>
                                        <w:right w:w="0" w:type="dxa"/>
                                      </w:tblCellMar>
                                      <w:tblLook w:val="04A0"/>
                                    </w:tblPr>
                                    <w:tblGrid>
                                      <w:gridCol w:w="5986"/>
                                    </w:tblGrid>
                                    <w:tr w:rsidR="00CC34EB">
                                      <w:tc>
                                        <w:tcPr>
                                          <w:tcW w:w="0" w:type="auto"/>
                                          <w:vAlign w:val="center"/>
                                          <w:hideMark/>
                                        </w:tcPr>
                                        <w:tbl>
                                          <w:tblPr>
                                            <w:tblW w:w="5000" w:type="pct"/>
                                            <w:tblCellMar>
                                              <w:left w:w="0" w:type="dxa"/>
                                              <w:right w:w="0" w:type="dxa"/>
                                            </w:tblCellMar>
                                            <w:tblLook w:val="04A0"/>
                                          </w:tblPr>
                                          <w:tblGrid>
                                            <w:gridCol w:w="5986"/>
                                          </w:tblGrid>
                                          <w:tr w:rsidR="00CC34EB">
                                            <w:tc>
                                              <w:tcPr>
                                                <w:tcW w:w="0" w:type="auto"/>
                                                <w:hideMark/>
                                              </w:tcPr>
                                              <w:p w:rsidR="00CC34EB" w:rsidRDefault="00CC34EB">
                                                <w:pPr>
                                                  <w:pStyle w:val="NormalWeb"/>
                                                  <w:rPr>
                                                    <w:rFonts w:ascii="Atkinson Hyperlegible" w:hAnsi="Atkinson Hyperlegible"/>
                                                    <w:sz w:val="30"/>
                                                    <w:szCs w:val="30"/>
                                                  </w:rPr>
                                                </w:pPr>
                                                <w:r>
                                                  <w:rPr>
                                                    <w:rFonts w:ascii="Atkinson Hyperlegible" w:hAnsi="Atkinson Hyperlegible"/>
                                                    <w:sz w:val="42"/>
                                                    <w:szCs w:val="42"/>
                                                  </w:rPr>
                                                  <w:t>Enquête nationale sur l’inclusion des personnes en situation de handicap</w:t>
                                                </w:r>
                                              </w:p>
                                            </w:tc>
                                          </w:tr>
                                          <w:tr w:rsidR="00CC34EB">
                                            <w:trPr>
                                              <w:trHeight w:val="60"/>
                                            </w:trPr>
                                            <w:tc>
                                              <w:tcPr>
                                                <w:tcW w:w="0" w:type="auto"/>
                                                <w:vAlign w:val="center"/>
                                                <w:hideMark/>
                                              </w:tcPr>
                                              <w:p w:rsidR="00CC34EB" w:rsidRDefault="00CC34EB">
                                                <w:pPr>
                                                  <w:spacing w:line="75" w:lineRule="exact"/>
                                                  <w:rPr>
                                                    <w:rFonts w:eastAsia="Times New Roman"/>
                                                    <w:sz w:val="8"/>
                                                    <w:szCs w:val="8"/>
                                                  </w:rPr>
                                                </w:pPr>
                                                <w:r>
                                                  <w:rPr>
                                                    <w:rFonts w:eastAsia="Times New Roman"/>
                                                    <w:sz w:val="8"/>
                                                    <w:szCs w:val="8"/>
                                                  </w:rPr>
                                                  <w:softHyphen/>
                                                </w:r>
                                              </w:p>
                                            </w:tc>
                                          </w:tr>
                                        </w:tbl>
                                        <w:p w:rsidR="00CC34EB" w:rsidRDefault="00CC34EB">
                                          <w:pPr>
                                            <w:rPr>
                                              <w:rFonts w:eastAsia="Times New Roman"/>
                                              <w:color w:val="auto"/>
                                              <w:sz w:val="20"/>
                                              <w:szCs w:val="20"/>
                                            </w:rPr>
                                          </w:pPr>
                                        </w:p>
                                      </w:tc>
                                    </w:tr>
                                    <w:tr w:rsidR="00CC34EB">
                                      <w:tc>
                                        <w:tcPr>
                                          <w:tcW w:w="0" w:type="auto"/>
                                          <w:vAlign w:val="center"/>
                                          <w:hideMark/>
                                        </w:tcPr>
                                        <w:tbl>
                                          <w:tblPr>
                                            <w:tblW w:w="5000" w:type="pct"/>
                                            <w:tblCellMar>
                                              <w:left w:w="0" w:type="dxa"/>
                                              <w:right w:w="0" w:type="dxa"/>
                                            </w:tblCellMar>
                                            <w:tblLook w:val="04A0"/>
                                          </w:tblPr>
                                          <w:tblGrid>
                                            <w:gridCol w:w="5986"/>
                                          </w:tblGrid>
                                          <w:tr w:rsidR="00CC34EB">
                                            <w:tc>
                                              <w:tcPr>
                                                <w:tcW w:w="0" w:type="auto"/>
                                                <w:hideMark/>
                                              </w:tcPr>
                                              <w:p w:rsidR="00CC34EB" w:rsidRDefault="00CC34EB">
                                                <w:pPr>
                                                  <w:pStyle w:val="default"/>
                                                  <w:rPr>
                                                    <w:rFonts w:ascii="Atkinson Hyperlegible" w:hAnsi="Atkinson Hyperlegible"/>
                                                    <w:sz w:val="30"/>
                                                    <w:szCs w:val="30"/>
                                                  </w:rPr>
                                                </w:pPr>
                                                <w:r>
                                                  <w:rPr>
                                                    <w:rFonts w:ascii="Atkinson Hyperlegible" w:hAnsi="Atkinson Hyperlegible"/>
                                                    <w:sz w:val="27"/>
                                                    <w:szCs w:val="27"/>
                                                  </w:rPr>
                                                  <w:t xml:space="preserve">Pro </w:t>
                                                </w:r>
                                                <w:proofErr w:type="spellStart"/>
                                                <w:r>
                                                  <w:rPr>
                                                    <w:rFonts w:ascii="Atkinson Hyperlegible" w:hAnsi="Atkinson Hyperlegible"/>
                                                    <w:sz w:val="27"/>
                                                    <w:szCs w:val="27"/>
                                                  </w:rPr>
                                                  <w:t>Infirmis</w:t>
                                                </w:r>
                                                <w:proofErr w:type="spellEnd"/>
                                                <w:r>
                                                  <w:rPr>
                                                    <w:rFonts w:ascii="Atkinson Hyperlegible" w:hAnsi="Atkinson Hyperlegible"/>
                                                    <w:sz w:val="27"/>
                                                    <w:szCs w:val="27"/>
                                                  </w:rPr>
                                                  <w:t xml:space="preserve"> réalise pour la deuxième fois une enquête nationale sur l’inclusion des personnes en situation de handicap en Suisse. Cette enquête vise à recueillir les expériences des personnes en situation de handicap ou vivant avec une maladie chronique, afin d’évaluer leur sentiment d’inclusion dans différents domaines de la vie.</w:t>
                                                </w:r>
                                              </w:p>
                                              <w:p w:rsidR="00CC34EB" w:rsidRDefault="00CC34EB">
                                                <w:pPr>
                                                  <w:pStyle w:val="NormalWeb"/>
                                                  <w:rPr>
                                                    <w:rFonts w:ascii="Atkinson Hyperlegible" w:hAnsi="Atkinson Hyperlegible"/>
                                                    <w:sz w:val="30"/>
                                                    <w:szCs w:val="30"/>
                                                  </w:rPr>
                                                </w:pPr>
                                                <w:r>
                                                  <w:rPr>
                                                    <w:rFonts w:ascii="Atkinson Hyperlegible" w:hAnsi="Atkinson Hyperlegible"/>
                                                    <w:sz w:val="30"/>
                                                    <w:szCs w:val="30"/>
                                                  </w:rPr>
                                                  <w:t> </w:t>
                                                </w:r>
                                              </w:p>
                                              <w:p w:rsidR="00CC34EB" w:rsidRDefault="00CC34EB">
                                                <w:pPr>
                                                  <w:pStyle w:val="NormalWeb"/>
                                                  <w:rPr>
                                                    <w:rFonts w:ascii="Atkinson Hyperlegible" w:hAnsi="Atkinson Hyperlegible"/>
                                                    <w:sz w:val="30"/>
                                                    <w:szCs w:val="30"/>
                                                  </w:rPr>
                                                </w:pPr>
                                                <w:hyperlink r:id="rId17" w:tgtFrame="_blank" w:tooltip="Vers l'article " w:history="1">
                                                  <w:r>
                                                    <w:rPr>
                                                      <w:rStyle w:val="Lienhypertexte"/>
                                                      <w:rFonts w:ascii="Atkinson Hyperlegible" w:hAnsi="Atkinson Hyperlegible"/>
                                                      <w:sz w:val="30"/>
                                                      <w:szCs w:val="30"/>
                                                    </w:rPr>
                                                    <w:t>Vers l'article</w:t>
                                                  </w:r>
                                                </w:hyperlink>
                                              </w:p>
                                            </w:tc>
                                          </w:tr>
                                          <w:tr w:rsidR="00CC34EB">
                                            <w:trPr>
                                              <w:trHeight w:val="180"/>
                                            </w:trPr>
                                            <w:tc>
                                              <w:tcPr>
                                                <w:tcW w:w="0" w:type="auto"/>
                                                <w:vAlign w:val="center"/>
                                                <w:hideMark/>
                                              </w:tcPr>
                                              <w:p w:rsidR="00CC34EB" w:rsidRDefault="00CC34EB">
                                                <w:pPr>
                                                  <w:spacing w:line="225" w:lineRule="exact"/>
                                                  <w:rPr>
                                                    <w:rFonts w:eastAsia="Times New Roman"/>
                                                    <w:sz w:val="23"/>
                                                    <w:szCs w:val="23"/>
                                                  </w:rPr>
                                                </w:pPr>
                                                <w:r>
                                                  <w:rPr>
                                                    <w:rFonts w:eastAsia="Times New Roman"/>
                                                    <w:sz w:val="23"/>
                                                    <w:szCs w:val="23"/>
                                                  </w:rPr>
                                                  <w:softHyphen/>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14"/>
                              </w:tblGrid>
                              <w:tr w:rsidR="00CC34EB">
                                <w:tc>
                                  <w:tcPr>
                                    <w:tcW w:w="0" w:type="auto"/>
                                    <w:hideMark/>
                                  </w:tcPr>
                                  <w:tbl>
                                    <w:tblPr>
                                      <w:tblW w:w="5000" w:type="pct"/>
                                      <w:tblCellMar>
                                        <w:left w:w="0" w:type="dxa"/>
                                        <w:right w:w="0" w:type="dxa"/>
                                      </w:tblCellMar>
                                      <w:tblLook w:val="04A0"/>
                                    </w:tblPr>
                                    <w:tblGrid>
                                      <w:gridCol w:w="3014"/>
                                    </w:tblGrid>
                                    <w:tr w:rsidR="00CC34EB">
                                      <w:tc>
                                        <w:tcPr>
                                          <w:tcW w:w="0" w:type="auto"/>
                                          <w:vAlign w:val="center"/>
                                          <w:hideMark/>
                                        </w:tcPr>
                                        <w:tbl>
                                          <w:tblPr>
                                            <w:tblW w:w="2985" w:type="dxa"/>
                                            <w:tblCellMar>
                                              <w:left w:w="0" w:type="dxa"/>
                                              <w:right w:w="0" w:type="dxa"/>
                                            </w:tblCellMar>
                                            <w:tblLook w:val="04A0"/>
                                          </w:tblPr>
                                          <w:tblGrid>
                                            <w:gridCol w:w="3014"/>
                                          </w:tblGrid>
                                          <w:tr w:rsidR="00CC34EB">
                                            <w:tc>
                                              <w:tcPr>
                                                <w:tcW w:w="0" w:type="auto"/>
                                                <w:tcMar>
                                                  <w:top w:w="0" w:type="dxa"/>
                                                  <w:left w:w="300" w:type="dxa"/>
                                                  <w:bottom w:w="0" w:type="dxa"/>
                                                  <w:right w:w="0" w:type="dxa"/>
                                                </w:tcMar>
                                                <w:vAlign w:val="center"/>
                                                <w:hideMark/>
                                              </w:tcPr>
                                              <w:p w:rsidR="00CC34EB" w:rsidRDefault="00CC34EB">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4340" cy="1704340"/>
                                                      <wp:effectExtent l="19050" t="0" r="0" b="0"/>
                                                      <wp:docPr id="5" name="Image 5" descr="Un diagramme circulaire avec différentes cou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diagramme circulaire avec différentes couleurs."/>
                                                              <pic:cNvPicPr>
                                                                <a:picLocks noChangeAspect="1" noChangeArrowheads="1"/>
                                                              </pic:cNvPicPr>
                                                            </pic:nvPicPr>
                                                            <pic:blipFill>
                                                              <a:blip r:embed="rId18"/>
                                                              <a:srcRect/>
                                                              <a:stretch>
                                                                <a:fillRect/>
                                                              </a:stretch>
                                                            </pic:blipFill>
                                                            <pic:spPr bwMode="auto">
                                                              <a:xfrm>
                                                                <a:off x="0" y="0"/>
                                                                <a:ext cx="1704340" cy="1704340"/>
                                                              </a:xfrm>
                                                              <a:prstGeom prst="rect">
                                                                <a:avLst/>
                                                              </a:prstGeom>
                                                              <a:noFill/>
                                                              <a:ln w="9525">
                                                                <a:noFill/>
                                                                <a:miter lim="800000"/>
                                                                <a:headEnd/>
                                                                <a:tailEnd/>
                                                              </a:ln>
                                                            </pic:spPr>
                                                          </pic:pic>
                                                        </a:graphicData>
                                                      </a:graphic>
                                                    </wp:inline>
                                                  </w:drawing>
                                                </w: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rPr>
                            <w:rFonts w:eastAsia="Times New Roman"/>
                            <w:color w:val="auto"/>
                            <w:sz w:val="20"/>
                            <w:szCs w:val="20"/>
                          </w:rPr>
                        </w:pPr>
                      </w:p>
                    </w:tc>
                  </w:tr>
                </w:tbl>
                <w:p w:rsidR="00CC34EB" w:rsidRDefault="00CC34EB">
                  <w:pPr>
                    <w:jc w:val="center"/>
                    <w:rPr>
                      <w:rFonts w:eastAsia="Times New Roman"/>
                      <w:color w:val="auto"/>
                      <w:sz w:val="20"/>
                      <w:szCs w:val="20"/>
                    </w:rPr>
                  </w:pPr>
                </w:p>
              </w:tc>
            </w:tr>
          </w:tbl>
          <w:p w:rsidR="00CC34EB" w:rsidRDefault="00CC34EB">
            <w:pPr>
              <w:rPr>
                <w:rFonts w:eastAsia="Times New Roman"/>
                <w:vanish/>
              </w:rPr>
            </w:pPr>
          </w:p>
          <w:p w:rsidR="00CC34EB" w:rsidRDefault="00CC34EB">
            <w:pPr>
              <w:jc w:val="center"/>
              <w:rPr>
                <w:rFonts w:eastAsia="Times New Roman"/>
                <w:color w:val="auto"/>
                <w:sz w:val="20"/>
                <w:szCs w:val="20"/>
              </w:rPr>
            </w:pPr>
          </w:p>
        </w:tc>
      </w:tr>
    </w:tbl>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CC34EB"/>
    <w:rsid w:val="0017744C"/>
    <w:rsid w:val="003943A1"/>
    <w:rsid w:val="00687751"/>
    <w:rsid w:val="00CC34EB"/>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EB"/>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CC34EB"/>
    <w:pPr>
      <w:outlineLvl w:val="0"/>
    </w:pPr>
    <w:rPr>
      <w:kern w:val="36"/>
      <w:sz w:val="48"/>
      <w:szCs w:val="48"/>
    </w:rPr>
  </w:style>
  <w:style w:type="paragraph" w:styleId="Titre2">
    <w:name w:val="heading 2"/>
    <w:basedOn w:val="Normal"/>
    <w:link w:val="Titre2Car"/>
    <w:uiPriority w:val="9"/>
    <w:semiHidden/>
    <w:unhideWhenUsed/>
    <w:qFormat/>
    <w:rsid w:val="00CC34EB"/>
    <w:pPr>
      <w:outlineLvl w:val="1"/>
    </w:pPr>
    <w:rPr>
      <w:sz w:val="36"/>
      <w:szCs w:val="36"/>
    </w:rPr>
  </w:style>
  <w:style w:type="paragraph" w:styleId="Titre4">
    <w:name w:val="heading 4"/>
    <w:basedOn w:val="Normal"/>
    <w:link w:val="Titre4Car"/>
    <w:uiPriority w:val="9"/>
    <w:unhideWhenUsed/>
    <w:qFormat/>
    <w:rsid w:val="00CC34EB"/>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34EB"/>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semiHidden/>
    <w:rsid w:val="00CC34EB"/>
    <w:rPr>
      <w:rFonts w:ascii="Times New Roman" w:hAnsi="Times New Roman" w:cs="Times New Roman"/>
      <w:color w:val="000000"/>
      <w:sz w:val="36"/>
      <w:szCs w:val="36"/>
      <w:lang w:eastAsia="fr-FR"/>
    </w:rPr>
  </w:style>
  <w:style w:type="character" w:customStyle="1" w:styleId="Titre4Car">
    <w:name w:val="Titre 4 Car"/>
    <w:basedOn w:val="Policepardfaut"/>
    <w:link w:val="Titre4"/>
    <w:uiPriority w:val="9"/>
    <w:rsid w:val="00CC34EB"/>
    <w:rPr>
      <w:rFonts w:ascii="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CC34EB"/>
    <w:rPr>
      <w:color w:val="000000"/>
      <w:u w:val="single"/>
    </w:rPr>
  </w:style>
  <w:style w:type="paragraph" w:styleId="NormalWeb">
    <w:name w:val="Normal (Web)"/>
    <w:basedOn w:val="Normal"/>
    <w:uiPriority w:val="99"/>
    <w:unhideWhenUsed/>
    <w:rsid w:val="00CC34EB"/>
  </w:style>
  <w:style w:type="paragraph" w:customStyle="1" w:styleId="default">
    <w:name w:val="default"/>
    <w:basedOn w:val="Normal"/>
    <w:uiPriority w:val="99"/>
    <w:semiHidden/>
    <w:rsid w:val="00CC34EB"/>
  </w:style>
  <w:style w:type="paragraph" w:styleId="Textedebulles">
    <w:name w:val="Balloon Text"/>
    <w:basedOn w:val="Normal"/>
    <w:link w:val="TextedebullesCar"/>
    <w:uiPriority w:val="99"/>
    <w:semiHidden/>
    <w:unhideWhenUsed/>
    <w:rsid w:val="00CC34EB"/>
    <w:rPr>
      <w:rFonts w:ascii="Tahoma" w:hAnsi="Tahoma" w:cs="Tahoma"/>
      <w:sz w:val="16"/>
      <w:szCs w:val="16"/>
    </w:rPr>
  </w:style>
  <w:style w:type="character" w:customStyle="1" w:styleId="TextedebullesCar">
    <w:name w:val="Texte de bulles Car"/>
    <w:basedOn w:val="Policepardfaut"/>
    <w:link w:val="Textedebulles"/>
    <w:uiPriority w:val="99"/>
    <w:semiHidden/>
    <w:rsid w:val="00CC34EB"/>
    <w:rPr>
      <w:rFonts w:ascii="Tahoma"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divs>
    <w:div w:id="3950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hg9q.r.sp1-brevo.net/mk/cl/f/sh/SMK1E8tHeG7uj6AxLruaQjcqq93v/vwjdQkuzzeBk" TargetMode="External"/><Relationship Id="rId13" Type="http://schemas.openxmlformats.org/officeDocument/2006/relationships/hyperlink" Target="mailto:tech@sbv-fsa.ch" TargetMode="External"/><Relationship Id="rId1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dhg9q.r.sp1-brevo.net/mk/cl/f/sh/SMK1E8tHeG13GxM0Ahl6KuK6rqTf/gOlRVbkPAy5T" TargetMode="External"/><Relationship Id="rId12" Type="http://schemas.openxmlformats.org/officeDocument/2006/relationships/hyperlink" Target="mailto:tech@sbv-fsa.ch" TargetMode="External"/><Relationship Id="rId17" Type="http://schemas.openxmlformats.org/officeDocument/2006/relationships/hyperlink" Target="https://dhg9q.r.sp1-brevo.net/mk/cl/f/sh/SMK1E8tHeGgDzoHjFgg0ts8YhdzD/Ubxof3lSUYHO" TargetMode="External"/><Relationship Id="rId2" Type="http://schemas.openxmlformats.org/officeDocument/2006/relationships/settings" Target="settings.xml"/><Relationship Id="rId16" Type="http://schemas.openxmlformats.org/officeDocument/2006/relationships/hyperlink" Target="https://dhg9q.r.sp1-brevo.net/mk/cl/f/sh/SMK1E8tHeGZMXfSm4WWWo2pojLOx/AvC3zPI4z0O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media/image4.jpeg"/><Relationship Id="rId10" Type="http://schemas.openxmlformats.org/officeDocument/2006/relationships/hyperlink" Target="https://dhg9q.r.sp1-brevo.net/mk/cl/f/sh/SMK1E8tHeGLddNoriCDYcOEKmkER/NMucvhRlqEgC" TargetMode="External"/><Relationship Id="rId19" Type="http://schemas.openxmlformats.org/officeDocument/2006/relationships/fontTable" Target="fontTable.xml"/><Relationship Id="rId4" Type="http://schemas.openxmlformats.org/officeDocument/2006/relationships/hyperlink" Target="https://dhg9q.r.sp1-brevo.net/mk/cl/f/sh/SMK1E8tHeFuBooX2zXbcF51MtXtP/--E1ns-WUpzd" TargetMode="External"/><Relationship Id="rId9" Type="http://schemas.openxmlformats.org/officeDocument/2006/relationships/hyperlink" Target="https://dhg9q.r.sp1-brevo.net/mk/cl/f/sh/SMK1E8tHeGEmBEzuX244WYvaoReB/8vgDQyALpVOv" TargetMode="External"/><Relationship Id="rId14" Type="http://schemas.openxmlformats.org/officeDocument/2006/relationships/hyperlink" Target="https://dhg9q.r.sp1-brevo.net/mk/cl/f/sh/SMK1E8tHeGSV5WdotMN2iDX4l2oh/sIPtN81zJyO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1056</Words>
  <Characters>5812</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2026-02-06T08:01:00Z</dcterms:created>
  <dcterms:modified xsi:type="dcterms:W3CDTF">2026-02-06T08:04:00Z</dcterms:modified>
</cp:coreProperties>
</file>