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Aux abonnées et abonnés de la BBR,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Ce message pour vous annoncer quelques informations récentes :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fr-CH"/>
        </w:rPr>
        <w:t>Podcast</w:t>
      </w:r>
      <w:proofErr w:type="spellEnd"/>
      <w:r>
        <w:rPr>
          <w:rFonts w:ascii="Arial" w:hAnsi="Arial" w:cs="Arial"/>
          <w:b/>
          <w:bCs/>
          <w:sz w:val="24"/>
          <w:szCs w:val="24"/>
          <w:lang w:val="fr-CH"/>
        </w:rPr>
        <w:t xml:space="preserve"> Le Point Son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Épisode numéro 27 : Le braille numérique. À écouter depuis notre notre chaine </w:t>
      </w:r>
      <w:proofErr w:type="spellStart"/>
      <w:r>
        <w:rPr>
          <w:rFonts w:ascii="Arial" w:hAnsi="Arial" w:cs="Arial"/>
          <w:sz w:val="24"/>
          <w:szCs w:val="24"/>
          <w:lang w:val="fr-CH"/>
        </w:rPr>
        <w:fldChar w:fldCharType="begin"/>
      </w:r>
      <w:r>
        <w:rPr>
          <w:rFonts w:ascii="Arial" w:hAnsi="Arial" w:cs="Arial"/>
          <w:sz w:val="24"/>
          <w:szCs w:val="24"/>
          <w:lang w:val="fr-CH"/>
        </w:rPr>
        <w:instrText xml:space="preserve"> HYPERLINK "https://www.youtube.com/watch?v=koSx4UL_xV8&amp;list=PLAIx9nDWokQoPlHQfK3KS5elttEBWtfpY" \t "_blank" </w:instrText>
      </w:r>
      <w:r>
        <w:rPr>
          <w:rFonts w:ascii="Arial" w:hAnsi="Arial" w:cs="Arial"/>
          <w:sz w:val="24"/>
          <w:szCs w:val="24"/>
          <w:lang w:val="fr-CH"/>
        </w:rPr>
        <w:fldChar w:fldCharType="separate"/>
      </w:r>
      <w:r>
        <w:rPr>
          <w:rStyle w:val="Lienhypertexte"/>
          <w:rFonts w:ascii="Arial" w:hAnsi="Arial" w:cs="Arial"/>
          <w:sz w:val="24"/>
          <w:szCs w:val="24"/>
          <w:lang w:val="fr-CH"/>
        </w:rPr>
        <w:t>YouTube</w:t>
      </w:r>
      <w:proofErr w:type="spellEnd"/>
      <w:r>
        <w:rPr>
          <w:rFonts w:ascii="Arial" w:hAnsi="Arial" w:cs="Arial"/>
          <w:sz w:val="24"/>
          <w:szCs w:val="24"/>
          <w:lang w:val="fr-CH"/>
        </w:rPr>
        <w:fldChar w:fldCharType="end"/>
      </w:r>
      <w:r>
        <w:rPr>
          <w:rFonts w:ascii="Arial" w:hAnsi="Arial" w:cs="Arial"/>
          <w:sz w:val="24"/>
          <w:szCs w:val="24"/>
          <w:lang w:val="fr-CH"/>
        </w:rPr>
        <w:t> ou notre </w:t>
      </w:r>
      <w:hyperlink r:id="rId4" w:tgtFrame="_blank" w:history="1">
        <w:r>
          <w:rPr>
            <w:rStyle w:val="Lienhypertexte"/>
            <w:rFonts w:ascii="Arial" w:hAnsi="Arial" w:cs="Arial"/>
            <w:sz w:val="24"/>
            <w:szCs w:val="24"/>
            <w:lang w:val="fr-CH"/>
          </w:rPr>
          <w:t>site Internet</w:t>
        </w:r>
      </w:hyperlink>
      <w:r>
        <w:rPr>
          <w:rFonts w:ascii="Arial" w:hAnsi="Arial" w:cs="Arial"/>
          <w:sz w:val="24"/>
          <w:szCs w:val="24"/>
          <w:lang w:val="fr-CH"/>
        </w:rPr>
        <w:t>.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Épisode numéro 28 : Rencontre avec M. José Varela, bénéficiaire de l’ABA, qui évoque son parcours et sa vie quotidienne. Il fait part en particulier du processus d’acceptation de sa déficience visuelle.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Podcast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réalisé cette fois-ci en vidéo et en audio. Disponible sur notre </w:t>
      </w:r>
      <w:hyperlink r:id="rId5" w:tgtFrame="_blank" w:history="1">
        <w:r>
          <w:rPr>
            <w:rStyle w:val="Lienhypertexte"/>
            <w:rFonts w:ascii="Arial" w:hAnsi="Arial" w:cs="Arial"/>
            <w:sz w:val="24"/>
            <w:szCs w:val="24"/>
            <w:lang w:val="fr-CH"/>
          </w:rPr>
          <w:t xml:space="preserve">chaine </w:t>
        </w:r>
        <w:proofErr w:type="spellStart"/>
        <w:r>
          <w:rPr>
            <w:rStyle w:val="Lienhypertexte"/>
            <w:rFonts w:ascii="Arial" w:hAnsi="Arial" w:cs="Arial"/>
            <w:sz w:val="24"/>
            <w:szCs w:val="24"/>
            <w:lang w:val="fr-CH"/>
          </w:rPr>
          <w:t>YouTube</w:t>
        </w:r>
        <w:proofErr w:type="spellEnd"/>
      </w:hyperlink>
      <w:r>
        <w:rPr>
          <w:rFonts w:ascii="Arial" w:hAnsi="Arial" w:cs="Arial"/>
          <w:sz w:val="24"/>
          <w:szCs w:val="24"/>
          <w:lang w:val="fr-CH"/>
        </w:rPr>
        <w:t> et </w:t>
      </w:r>
      <w:hyperlink r:id="rId6" w:tgtFrame="_blank" w:history="1">
        <w:r>
          <w:rPr>
            <w:rStyle w:val="Lienhypertexte"/>
            <w:rFonts w:ascii="Arial" w:hAnsi="Arial" w:cs="Arial"/>
            <w:sz w:val="24"/>
            <w:szCs w:val="24"/>
            <w:lang w:val="fr-CH"/>
          </w:rPr>
          <w:t>site Internet</w:t>
        </w:r>
      </w:hyperlink>
      <w:r>
        <w:rPr>
          <w:rFonts w:ascii="Arial" w:hAnsi="Arial" w:cs="Arial"/>
          <w:sz w:val="24"/>
          <w:szCs w:val="24"/>
          <w:lang w:val="fr-CH"/>
        </w:rPr>
        <w:t>.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Tous les épisodes sont également disponibles dans l’application BBR Player,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Spotify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, Apple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Podcasts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, Google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Podcasts</w:t>
      </w:r>
      <w:proofErr w:type="spellEnd"/>
      <w:r>
        <w:rPr>
          <w:rFonts w:ascii="Arial" w:hAnsi="Arial" w:cs="Arial"/>
          <w:sz w:val="24"/>
          <w:szCs w:val="24"/>
          <w:lang w:val="fr-CH"/>
        </w:rPr>
        <w:t>.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b/>
          <w:bCs/>
          <w:sz w:val="24"/>
          <w:szCs w:val="24"/>
          <w:lang w:val="fr-CH"/>
        </w:rPr>
        <w:t>Application BBR Player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Nous avons mis à jour les 2 versions,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Android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iOS</w:t>
      </w:r>
      <w:proofErr w:type="spellEnd"/>
      <w:r>
        <w:rPr>
          <w:rFonts w:ascii="Arial" w:hAnsi="Arial" w:cs="Arial"/>
          <w:sz w:val="24"/>
          <w:szCs w:val="24"/>
          <w:lang w:val="fr-CH"/>
        </w:rPr>
        <w:t>, de notre application de téléchargement et de lecture de livres audio :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Version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iOS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1.3.12 : cette version règle des problèmes de sauts de chapitres qui survenaient parfois dans le module de lecture.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Version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Android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1.7.7 : cette nouvelle version règle un problème d’affichage des menus supérieurs et inférieurs dans l’Application.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L’application peut être mise à jour à partir de l’</w:t>
      </w:r>
      <w:proofErr w:type="spellStart"/>
      <w:r>
        <w:rPr>
          <w:rFonts w:ascii="Arial" w:hAnsi="Arial" w:cs="Arial"/>
          <w:sz w:val="24"/>
          <w:szCs w:val="24"/>
          <w:lang w:val="fr-CH"/>
        </w:rPr>
        <w:t>Appstore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pour la version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iOS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ou de Google Play pour la version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Android</w:t>
      </w:r>
      <w:proofErr w:type="spellEnd"/>
      <w:r>
        <w:rPr>
          <w:rFonts w:ascii="Arial" w:hAnsi="Arial" w:cs="Arial"/>
          <w:sz w:val="24"/>
          <w:szCs w:val="24"/>
          <w:lang w:val="fr-CH"/>
        </w:rPr>
        <w:t>.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Nous avons également changé le contenu de la section À découvrir avec diverses propositions de romans de Noël pour la fin d’année.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b/>
          <w:bCs/>
          <w:sz w:val="24"/>
          <w:szCs w:val="24"/>
          <w:lang w:val="fr-CH"/>
        </w:rPr>
        <w:t>Horaires de fin d’année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Durant les fêtes, en plus des jours fériés, la bibliothèque sera fermée le 26 décembre et le 2 janvier.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Du 22 décembre au 30 décembre, nous assurerons une permanence uniquement le matin de 9h à 12h. Les horaires habituels reprennent dès le lundi 5 janvier.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Le dernier catalogue trimestriel de notre collection audio et braille, pour les mois d’octobre à décembre 2025, sera publié au début du mois de janvier. Les versions sur CD et imprimées sur papier vous parviendront ainsi dans le courant du mois.</w:t>
      </w: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Pour toute remarque ou question, n’hésitez pas à nous contacter au 022 317 79 00 ou par courriel à </w:t>
      </w:r>
      <w:hyperlink r:id="rId7" w:tgtFrame="_blank" w:history="1">
        <w:r>
          <w:rPr>
            <w:rStyle w:val="Lienhypertexte"/>
            <w:rFonts w:ascii="Arial" w:hAnsi="Arial" w:cs="Arial"/>
            <w:sz w:val="24"/>
            <w:szCs w:val="24"/>
            <w:lang w:val="fr-CH"/>
          </w:rPr>
          <w:t>bbr@abage.ch</w:t>
        </w:r>
      </w:hyperlink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</w:p>
    <w:p w:rsidR="00F330CA" w:rsidRDefault="00F330CA" w:rsidP="00F330C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Par avance, nous vous souhaitons à toutes et tous un joyeux Noël et de belles fêtes de fin d'année.</w:t>
      </w:r>
      <w:r>
        <w:rPr>
          <w:rFonts w:ascii="Arial" w:hAnsi="Arial" w:cs="Arial"/>
          <w:sz w:val="24"/>
          <w:szCs w:val="24"/>
          <w:lang w:val="fr-CH"/>
        </w:rPr>
        <w:br/>
      </w:r>
      <w:r>
        <w:rPr>
          <w:rFonts w:ascii="Arial" w:hAnsi="Arial" w:cs="Arial"/>
          <w:sz w:val="24"/>
          <w:szCs w:val="24"/>
          <w:lang w:val="fr-CH"/>
        </w:rPr>
        <w:br/>
        <w:t>L'équipe de la BBR</w:t>
      </w:r>
    </w:p>
    <w:tbl>
      <w:tblPr>
        <w:tblW w:w="12150" w:type="dxa"/>
        <w:tblCellSpacing w:w="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08"/>
        <w:gridCol w:w="112"/>
        <w:gridCol w:w="130"/>
      </w:tblGrid>
      <w:tr w:rsidR="00F330CA" w:rsidTr="00F330CA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30CA" w:rsidRDefault="00F330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Bibliothèque Braille Romande et livre parlé (Genève)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30CA" w:rsidTr="00F330CA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30CA" w:rsidRDefault="00F330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Place du Bourg-de-Four 34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30CA" w:rsidTr="00F330CA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30CA" w:rsidRDefault="00F330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1204 Genève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30CA" w:rsidTr="00F330CA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30CA" w:rsidRDefault="00F330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022 317 79 00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30CA" w:rsidTr="00F330CA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30CA" w:rsidRDefault="00F330CA">
            <w:pPr>
              <w:rPr>
                <w:rFonts w:ascii="Arial" w:hAnsi="Arial" w:cs="Arial"/>
                <w:sz w:val="24"/>
                <w:szCs w:val="24"/>
              </w:rPr>
            </w:pPr>
            <w:hyperlink r:id="rId8" w:tgtFrame="_blank" w:history="1">
              <w:r>
                <w:rPr>
                  <w:rStyle w:val="Lienhypertexte"/>
                  <w:rFonts w:ascii="Arial" w:hAnsi="Arial" w:cs="Arial"/>
                  <w:sz w:val="24"/>
                  <w:szCs w:val="24"/>
                </w:rPr>
                <w:t>bbr@abage.ch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30CA" w:rsidTr="00F330CA">
        <w:trPr>
          <w:trHeight w:val="35"/>
          <w:tblCellSpacing w:w="18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30CA" w:rsidRDefault="00F330CA">
            <w:pPr>
              <w:rPr>
                <w:rFonts w:ascii="Arial" w:hAnsi="Arial" w:cs="Arial"/>
                <w:sz w:val="24"/>
                <w:szCs w:val="24"/>
              </w:rPr>
            </w:pPr>
            <w:hyperlink r:id="rId9" w:tgtFrame="_blank" w:history="1">
              <w:r>
                <w:rPr>
                  <w:rStyle w:val="Lienhypertexte"/>
                  <w:rFonts w:ascii="Arial" w:hAnsi="Arial" w:cs="Arial"/>
                  <w:sz w:val="24"/>
                  <w:szCs w:val="24"/>
                </w:rPr>
                <w:t>www.abage.ch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330CA" w:rsidRDefault="00F330C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F5EF5" w:rsidRPr="00F330CA" w:rsidRDefault="00DF5EF5">
      <w:pPr>
        <w:rPr>
          <w:lang w:val="fr-CH"/>
        </w:rPr>
      </w:pPr>
    </w:p>
    <w:sectPr w:rsidR="00DF5EF5" w:rsidRPr="00F330CA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0CA"/>
    <w:rsid w:val="0017744C"/>
    <w:rsid w:val="003946BF"/>
    <w:rsid w:val="00687751"/>
    <w:rsid w:val="00DF5EF5"/>
    <w:rsid w:val="00F3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CA"/>
    <w:pPr>
      <w:spacing w:after="0" w:line="240" w:lineRule="auto"/>
    </w:pPr>
    <w:rPr>
      <w:rFonts w:ascii="Aptos" w:hAnsi="Aptos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330C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r@abage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br@abag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age.ch/le-point-son-2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bJz9uGeA8o&amp;list=PLAIx9nDWokQoPlHQfK3KS5elttEBWtfp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bage.ch/le-point-son-27/" TargetMode="External"/><Relationship Id="rId9" Type="http://schemas.openxmlformats.org/officeDocument/2006/relationships/hyperlink" Target="http://www.abage.c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2025-12-16T07:43:00Z</dcterms:created>
  <dcterms:modified xsi:type="dcterms:W3CDTF">2025-12-16T07:52:00Z</dcterms:modified>
</cp:coreProperties>
</file>