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Mar>
          <w:left w:w="0" w:type="dxa"/>
          <w:right w:w="0" w:type="dxa"/>
        </w:tblCellMar>
        <w:tblLook w:val="04A0"/>
      </w:tblPr>
      <w:tblGrid>
        <w:gridCol w:w="9030"/>
      </w:tblGrid>
      <w:tr w:rsidR="000556E9" w:rsidTr="000556E9">
        <w:trPr>
          <w:jc w:val="center"/>
        </w:trPr>
        <w:tc>
          <w:tcPr>
            <w:tcW w:w="0" w:type="auto"/>
            <w:shd w:val="clear" w:color="auto" w:fill="FFFFFF"/>
          </w:tcPr>
          <w:tbl>
            <w:tblPr>
              <w:tblW w:w="5000" w:type="pct"/>
              <w:jc w:val="center"/>
              <w:tblCellMar>
                <w:left w:w="0" w:type="dxa"/>
                <w:right w:w="0" w:type="dxa"/>
              </w:tblCellMar>
              <w:tblLook w:val="04A0"/>
            </w:tblPr>
            <w:tblGrid>
              <w:gridCol w:w="9030"/>
            </w:tblGrid>
            <w:tr w:rsidR="000556E9">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0556E9">
                    <w:tc>
                      <w:tcPr>
                        <w:tcW w:w="5000" w:type="pct"/>
                        <w:hideMark/>
                      </w:tcPr>
                      <w:tbl>
                        <w:tblPr>
                          <w:tblW w:w="9000" w:type="dxa"/>
                          <w:tblCellMar>
                            <w:left w:w="0" w:type="dxa"/>
                            <w:right w:w="0" w:type="dxa"/>
                          </w:tblCellMar>
                          <w:tblLook w:val="04A0"/>
                        </w:tblPr>
                        <w:tblGrid>
                          <w:gridCol w:w="9000"/>
                        </w:tblGrid>
                        <w:tr w:rsidR="000556E9">
                          <w:tc>
                            <w:tcPr>
                              <w:tcW w:w="0" w:type="auto"/>
                              <w:vAlign w:val="center"/>
                              <w:hideMark/>
                            </w:tcPr>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vanish/>
              </w:rPr>
            </w:pPr>
          </w:p>
          <w:tbl>
            <w:tblPr>
              <w:tblW w:w="5000" w:type="pct"/>
              <w:jc w:val="center"/>
              <w:tblCellMar>
                <w:left w:w="0" w:type="dxa"/>
                <w:right w:w="0" w:type="dxa"/>
              </w:tblCellMar>
              <w:tblLook w:val="04A0"/>
            </w:tblPr>
            <w:tblGrid>
              <w:gridCol w:w="9030"/>
            </w:tblGrid>
            <w:tr w:rsidR="000556E9">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30"/>
                  </w:tblGrid>
                  <w:tr w:rsidR="000556E9">
                    <w:tc>
                      <w:tcPr>
                        <w:tcW w:w="5000" w:type="pct"/>
                        <w:hideMark/>
                      </w:tcPr>
                      <w:tbl>
                        <w:tblPr>
                          <w:tblpPr w:vertAnchor="text"/>
                          <w:tblW w:w="3750" w:type="dxa"/>
                          <w:tblCellMar>
                            <w:left w:w="0" w:type="dxa"/>
                            <w:right w:w="0" w:type="dxa"/>
                          </w:tblCellMar>
                          <w:tblLook w:val="04A0"/>
                        </w:tblPr>
                        <w:tblGrid>
                          <w:gridCol w:w="3780"/>
                        </w:tblGrid>
                        <w:tr w:rsidR="000556E9">
                          <w:tc>
                            <w:tcPr>
                              <w:tcW w:w="0" w:type="auto"/>
                              <w:vAlign w:val="center"/>
                              <w:hideMark/>
                            </w:tcPr>
                            <w:p w:rsidR="000556E9" w:rsidRDefault="000556E9">
                              <w:pPr>
                                <w:rPr>
                                  <w:rFonts w:eastAsia="Times New Roman"/>
                                </w:rPr>
                              </w:pPr>
                              <w:r>
                                <w:rPr>
                                  <w:rFonts w:eastAsia="Times New Roman"/>
                                  <w:noProof/>
                                </w:rPr>
                                <w:drawing>
                                  <wp:inline distT="0" distB="0" distL="0" distR="0">
                                    <wp:extent cx="2377440" cy="655320"/>
                                    <wp:effectExtent l="19050" t="0" r="3810"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77440" cy="655320"/>
                                            </a:xfrm>
                                            <a:prstGeom prst="rect">
                                              <a:avLst/>
                                            </a:prstGeom>
                                            <a:noFill/>
                                            <a:ln w="9525">
                                              <a:noFill/>
                                              <a:miter lim="800000"/>
                                              <a:headEnd/>
                                              <a:tailEnd/>
                                            </a:ln>
                                          </pic:spPr>
                                        </pic:pic>
                                      </a:graphicData>
                                    </a:graphic>
                                  </wp:inline>
                                </w:drawing>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vanish/>
              </w:rPr>
            </w:pPr>
          </w:p>
          <w:tbl>
            <w:tblPr>
              <w:tblW w:w="5000" w:type="pct"/>
              <w:jc w:val="center"/>
              <w:tblCellMar>
                <w:left w:w="0" w:type="dxa"/>
                <w:right w:w="0" w:type="dxa"/>
              </w:tblCellMar>
              <w:tblLook w:val="04A0"/>
            </w:tblPr>
            <w:tblGrid>
              <w:gridCol w:w="9030"/>
            </w:tblGrid>
            <w:tr w:rsidR="000556E9">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30"/>
                  </w:tblGrid>
                  <w:tr w:rsidR="000556E9">
                    <w:tc>
                      <w:tcPr>
                        <w:tcW w:w="5000" w:type="pct"/>
                        <w:hideMark/>
                      </w:tcPr>
                      <w:tbl>
                        <w:tblPr>
                          <w:tblW w:w="5000" w:type="pct"/>
                          <w:tblCellMar>
                            <w:left w:w="0" w:type="dxa"/>
                            <w:right w:w="0" w:type="dxa"/>
                          </w:tblCellMar>
                          <w:tblLook w:val="04A0"/>
                        </w:tblPr>
                        <w:tblGrid>
                          <w:gridCol w:w="9030"/>
                        </w:tblGrid>
                        <w:tr w:rsidR="000556E9">
                          <w:tc>
                            <w:tcPr>
                              <w:tcW w:w="0" w:type="auto"/>
                              <w:hideMark/>
                            </w:tcPr>
                            <w:tbl>
                              <w:tblPr>
                                <w:tblW w:w="5000" w:type="pct"/>
                                <w:tblCellMar>
                                  <w:left w:w="0" w:type="dxa"/>
                                  <w:right w:w="0" w:type="dxa"/>
                                </w:tblCellMar>
                                <w:tblLook w:val="04A0"/>
                              </w:tblPr>
                              <w:tblGrid>
                                <w:gridCol w:w="9030"/>
                              </w:tblGrid>
                              <w:tr w:rsidR="000556E9">
                                <w:tc>
                                  <w:tcPr>
                                    <w:tcW w:w="0" w:type="auto"/>
                                    <w:vAlign w:val="center"/>
                                    <w:hideMark/>
                                  </w:tcPr>
                                  <w:tbl>
                                    <w:tblPr>
                                      <w:tblW w:w="9000" w:type="dxa"/>
                                      <w:jc w:val="center"/>
                                      <w:tblCellMar>
                                        <w:left w:w="0" w:type="dxa"/>
                                        <w:right w:w="0" w:type="dxa"/>
                                      </w:tblCellMar>
                                      <w:tblLook w:val="04A0"/>
                                    </w:tblPr>
                                    <w:tblGrid>
                                      <w:gridCol w:w="9030"/>
                                    </w:tblGrid>
                                    <w:tr w:rsidR="000556E9">
                                      <w:trPr>
                                        <w:jc w:val="center"/>
                                      </w:trPr>
                                      <w:tc>
                                        <w:tcPr>
                                          <w:tcW w:w="0" w:type="auto"/>
                                          <w:vAlign w:val="center"/>
                                          <w:hideMark/>
                                        </w:tcPr>
                                        <w:p w:rsidR="000556E9" w:rsidRDefault="000556E9">
                                          <w:pPr>
                                            <w:spacing w:after="180"/>
                                            <w:rPr>
                                              <w:rFonts w:eastAsia="Times New Roman"/>
                                            </w:rPr>
                                          </w:pPr>
                                          <w:r>
                                            <w:rPr>
                                              <w:rFonts w:eastAsia="Times New Roman"/>
                                              <w:noProof/>
                                            </w:rPr>
                                            <w:drawing>
                                              <wp:inline distT="0" distB="0" distL="0" distR="0">
                                                <wp:extent cx="5715000" cy="3208020"/>
                                                <wp:effectExtent l="19050" t="0" r="0" b="0"/>
                                                <wp:docPr id="2" name="Image 2" descr="La coupole du Parlement fédéral au premier plan, avec une vue panoramique en arrièr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oupole du Parlement fédéral au premier plan, avec une vue panoramique en arrière-plan"/>
                                                        <pic:cNvPicPr>
                                                          <a:picLocks noChangeAspect="1" noChangeArrowheads="1"/>
                                                        </pic:cNvPicPr>
                                                      </pic:nvPicPr>
                                                      <pic:blipFill>
                                                        <a:blip r:embed="rId6"/>
                                                        <a:srcRect/>
                                                        <a:stretch>
                                                          <a:fillRect/>
                                                        </a:stretch>
                                                      </pic:blipFill>
                                                      <pic:spPr bwMode="auto">
                                                        <a:xfrm>
                                                          <a:off x="0" y="0"/>
                                                          <a:ext cx="5715000" cy="3208020"/>
                                                        </a:xfrm>
                                                        <a:prstGeom prst="rect">
                                                          <a:avLst/>
                                                        </a:prstGeom>
                                                        <a:noFill/>
                                                        <a:ln w="9525">
                                                          <a:noFill/>
                                                          <a:miter lim="800000"/>
                                                          <a:headEnd/>
                                                          <a:tailEnd/>
                                                        </a:ln>
                                                      </pic:spPr>
                                                    </pic:pic>
                                                  </a:graphicData>
                                                </a:graphic>
                                              </wp:inline>
                                            </w:drawing>
                                          </w:r>
                                        </w:p>
                                      </w:tc>
                                    </w:tr>
                                  </w:tbl>
                                  <w:p w:rsidR="000556E9" w:rsidRDefault="000556E9">
                                    <w:pPr>
                                      <w:jc w:val="center"/>
                                      <w:rPr>
                                        <w:rFonts w:eastAsia="Times New Roman"/>
                                        <w:color w:val="auto"/>
                                        <w:sz w:val="20"/>
                                        <w:szCs w:val="20"/>
                                      </w:rPr>
                                    </w:pPr>
                                  </w:p>
                                </w:tc>
                              </w:tr>
                              <w:tr w:rsidR="000556E9">
                                <w:tc>
                                  <w:tcPr>
                                    <w:tcW w:w="0" w:type="auto"/>
                                    <w:tcMar>
                                      <w:top w:w="225" w:type="dxa"/>
                                      <w:left w:w="0" w:type="dxa"/>
                                      <w:bottom w:w="0" w:type="dxa"/>
                                      <w:right w:w="0" w:type="dxa"/>
                                    </w:tcMar>
                                    <w:vAlign w:val="center"/>
                                    <w:hideMark/>
                                  </w:tcPr>
                                  <w:p w:rsidR="000556E9" w:rsidRDefault="000556E9">
                                    <w:pPr>
                                      <w:pStyle w:val="Titre1"/>
                                      <w:rPr>
                                        <w:rFonts w:ascii="Verdana" w:eastAsia="Times New Roman" w:hAnsi="Verdana"/>
                                        <w:sz w:val="63"/>
                                        <w:szCs w:val="63"/>
                                      </w:rPr>
                                    </w:pPr>
                                    <w:r>
                                      <w:rPr>
                                        <w:rFonts w:ascii="Verdana" w:eastAsia="Times New Roman" w:hAnsi="Verdana"/>
                                        <w:sz w:val="63"/>
                                        <w:szCs w:val="63"/>
                                      </w:rPr>
                                      <w:t>Un pas important vers le secret de vote pour tous</w:t>
                                    </w:r>
                                  </w:p>
                                  <w:p w:rsidR="000556E9" w:rsidRDefault="000556E9">
                                    <w:pPr>
                                      <w:pStyle w:val="NormalWeb"/>
                                      <w:rPr>
                                        <w:rFonts w:ascii="Verdana" w:hAnsi="Verdana"/>
                                        <w:sz w:val="30"/>
                                        <w:szCs w:val="30"/>
                                      </w:rPr>
                                    </w:pPr>
                                    <w:r>
                                      <w:rPr>
                                        <w:rFonts w:ascii="Verdana" w:hAnsi="Verdana"/>
                                        <w:sz w:val="30"/>
                                        <w:szCs w:val="30"/>
                                      </w:rPr>
                                      <w:t> </w:t>
                                    </w:r>
                                  </w:p>
                                </w:tc>
                              </w:tr>
                              <w:tr w:rsidR="000556E9">
                                <w:tc>
                                  <w:tcPr>
                                    <w:tcW w:w="0" w:type="auto"/>
                                    <w:tcMar>
                                      <w:top w:w="0" w:type="dxa"/>
                                      <w:left w:w="0" w:type="dxa"/>
                                      <w:bottom w:w="225" w:type="dxa"/>
                                      <w:right w:w="0" w:type="dxa"/>
                                    </w:tcMar>
                                    <w:vAlign w:val="center"/>
                                    <w:hideMark/>
                                  </w:tcPr>
                                  <w:p w:rsidR="000556E9" w:rsidRDefault="000556E9">
                                    <w:pPr>
                                      <w:pStyle w:val="NormalWeb"/>
                                      <w:rPr>
                                        <w:rFonts w:ascii="Verdana" w:hAnsi="Verdana"/>
                                        <w:sz w:val="30"/>
                                        <w:szCs w:val="30"/>
                                      </w:rPr>
                                    </w:pPr>
                                    <w:r>
                                      <w:rPr>
                                        <w:rFonts w:ascii="Verdana" w:hAnsi="Verdana"/>
                                        <w:sz w:val="30"/>
                                        <w:szCs w:val="30"/>
                                      </w:rPr>
                                      <w:t>Chère/Cher Membre</w:t>
                                    </w:r>
                                    <w:r>
                                      <w:rPr>
                                        <w:rFonts w:ascii="Verdana" w:hAnsi="Verdana"/>
                                        <w:sz w:val="30"/>
                                        <w:szCs w:val="30"/>
                                      </w:rPr>
                                      <w:br/>
                                    </w:r>
                                    <w:r>
                                      <w:rPr>
                                        <w:rFonts w:ascii="Verdana" w:hAnsi="Verdana"/>
                                        <w:sz w:val="30"/>
                                        <w:szCs w:val="30"/>
                                      </w:rPr>
                                      <w:br/>
                                      <w:t>Dans le canton de Zurich, lors du scrutin de fin novembre, les personnes aveugles et malvoyantes pourront utiliser pour la première fois un gabarit de vote. Elles pourront ainsi faire ce qui devrait être une évidence depuis longtemps, à savoir voter de manière autonome et dans le respect du secret de vote. L'introduction du gabarit de vote dans toute la Suisse est prévue pour le second semestre 2026.</w:t>
                                    </w:r>
                                  </w:p>
                                  <w:p w:rsidR="000556E9" w:rsidRDefault="000556E9">
                                    <w:pPr>
                                      <w:pStyle w:val="NormalWeb"/>
                                      <w:rPr>
                                        <w:rFonts w:ascii="Verdana" w:hAnsi="Verdana"/>
                                        <w:sz w:val="30"/>
                                        <w:szCs w:val="30"/>
                                      </w:rPr>
                                    </w:pPr>
                                    <w:r>
                                      <w:rPr>
                                        <w:rFonts w:ascii="Verdana" w:hAnsi="Verdana"/>
                                        <w:sz w:val="30"/>
                                        <w:szCs w:val="30"/>
                                      </w:rPr>
                                      <w:t> </w:t>
                                    </w:r>
                                  </w:p>
                                  <w:p w:rsidR="000556E9" w:rsidRDefault="000556E9">
                                    <w:pPr>
                                      <w:pStyle w:val="NormalWeb"/>
                                      <w:rPr>
                                        <w:rFonts w:ascii="Verdana" w:hAnsi="Verdana"/>
                                        <w:sz w:val="30"/>
                                        <w:szCs w:val="30"/>
                                      </w:rPr>
                                    </w:pPr>
                                    <w:r>
                                      <w:rPr>
                                        <w:rFonts w:ascii="Verdana" w:hAnsi="Verdana"/>
                                        <w:sz w:val="30"/>
                                        <w:szCs w:val="30"/>
                                      </w:rPr>
                                      <w:t xml:space="preserve">Moins réjouissante en revanche la nouvelle réglementation </w:t>
                                    </w:r>
                                    <w:r>
                                      <w:rPr>
                                        <w:rFonts w:ascii="Verdana" w:hAnsi="Verdana"/>
                                        <w:sz w:val="30"/>
                                        <w:szCs w:val="30"/>
                                      </w:rPr>
                                      <w:lastRenderedPageBreak/>
                                      <w:t>concernant l’ajournement de la rente AVS: celle-ci prévoit de supprimer les droits acquis pour les personnes qui touchent une allocation pour impotent de l’AI et ajournent le versement de leur rente de vieillesse AVS. Nous suivons la situation de près et nous engageons pour que les personnes concernées ne soient pas défavorisées.</w:t>
                                    </w:r>
                                  </w:p>
                                  <w:p w:rsidR="000556E9" w:rsidRDefault="000556E9">
                                    <w:pPr>
                                      <w:pStyle w:val="NormalWeb"/>
                                      <w:rPr>
                                        <w:rFonts w:ascii="Verdana" w:hAnsi="Verdana"/>
                                        <w:sz w:val="30"/>
                                        <w:szCs w:val="30"/>
                                      </w:rPr>
                                    </w:pPr>
                                    <w:r>
                                      <w:rPr>
                                        <w:rFonts w:ascii="Verdana" w:hAnsi="Verdana"/>
                                        <w:sz w:val="30"/>
                                        <w:szCs w:val="30"/>
                                      </w:rPr>
                                      <w:t> </w:t>
                                    </w:r>
                                  </w:p>
                                  <w:p w:rsidR="000556E9" w:rsidRDefault="000556E9">
                                    <w:pPr>
                                      <w:pStyle w:val="NormalWeb"/>
                                      <w:rPr>
                                        <w:rFonts w:ascii="Verdana" w:hAnsi="Verdana"/>
                                        <w:sz w:val="30"/>
                                        <w:szCs w:val="30"/>
                                      </w:rPr>
                                    </w:pPr>
                                    <w:r>
                                      <w:rPr>
                                        <w:rFonts w:ascii="Verdana" w:hAnsi="Verdana"/>
                                        <w:sz w:val="30"/>
                                        <w:szCs w:val="30"/>
                                      </w:rPr>
                                      <w:t>Notre engagement ne s’arrête toutefois pas là et nous avons d’autres bonnes nouvelles à partager: à commencer par des projets passionnants de notre département Technologie &amp; Innovation et un petit retour sur la Journée de la canne blanche du 15 octobre. Nous remercions tous ceux et toutes celles qui s’engagent avec passion et détermination en faveur de l’inclusion et de la pleine participation.</w:t>
                                    </w:r>
                                  </w:p>
                                  <w:p w:rsidR="000556E9" w:rsidRDefault="000556E9">
                                    <w:pPr>
                                      <w:pStyle w:val="NormalWeb"/>
                                      <w:rPr>
                                        <w:rFonts w:ascii="Verdana" w:hAnsi="Verdana"/>
                                        <w:sz w:val="30"/>
                                        <w:szCs w:val="30"/>
                                      </w:rPr>
                                    </w:pPr>
                                    <w:r>
                                      <w:rPr>
                                        <w:rFonts w:ascii="Verdana" w:hAnsi="Verdana"/>
                                        <w:sz w:val="30"/>
                                        <w:szCs w:val="30"/>
                                      </w:rPr>
                                      <w:t> </w:t>
                                    </w:r>
                                  </w:p>
                                  <w:p w:rsidR="000556E9" w:rsidRDefault="000556E9">
                                    <w:pPr>
                                      <w:pStyle w:val="NormalWeb"/>
                                      <w:rPr>
                                        <w:rFonts w:ascii="Verdana" w:hAnsi="Verdana"/>
                                        <w:sz w:val="30"/>
                                        <w:szCs w:val="30"/>
                                      </w:rPr>
                                    </w:pPr>
                                    <w:r>
                                      <w:rPr>
                                        <w:rFonts w:ascii="Verdana" w:hAnsi="Verdana"/>
                                        <w:sz w:val="30"/>
                                        <w:szCs w:val="30"/>
                                      </w:rPr>
                                      <w:t>Nous vous souhaitons une lecture passionnante!</w:t>
                                    </w:r>
                                    <w:r>
                                      <w:rPr>
                                        <w:rFonts w:ascii="Verdana" w:hAnsi="Verdana"/>
                                        <w:sz w:val="30"/>
                                        <w:szCs w:val="30"/>
                                      </w:rPr>
                                      <w:br/>
                                      <w:t>Cordialement</w:t>
                                    </w:r>
                                    <w:r>
                                      <w:rPr>
                                        <w:rFonts w:ascii="Verdana" w:hAnsi="Verdana"/>
                                        <w:sz w:val="30"/>
                                        <w:szCs w:val="30"/>
                                      </w:rPr>
                                      <w:br/>
                                      <w:t>Votre équipe de rédaction.</w:t>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vanish/>
              </w:rPr>
            </w:pPr>
          </w:p>
          <w:tbl>
            <w:tblPr>
              <w:tblW w:w="5000" w:type="pct"/>
              <w:jc w:val="center"/>
              <w:tblCellMar>
                <w:left w:w="0" w:type="dxa"/>
                <w:right w:w="0" w:type="dxa"/>
              </w:tblCellMar>
              <w:tblLook w:val="04A0"/>
            </w:tblPr>
            <w:tblGrid>
              <w:gridCol w:w="9030"/>
            </w:tblGrid>
            <w:tr w:rsidR="000556E9">
              <w:trPr>
                <w:trHeight w:val="360"/>
                <w:jc w:val="center"/>
              </w:trPr>
              <w:tc>
                <w:tcPr>
                  <w:tcW w:w="0" w:type="auto"/>
                  <w:vAlign w:val="center"/>
                  <w:hideMark/>
                </w:tcPr>
                <w:p w:rsidR="000556E9" w:rsidRDefault="000556E9">
                  <w:pPr>
                    <w:spacing w:line="450" w:lineRule="exact"/>
                    <w:rPr>
                      <w:rFonts w:eastAsia="Times New Roman"/>
                      <w:sz w:val="45"/>
                      <w:szCs w:val="45"/>
                    </w:rPr>
                  </w:pPr>
                  <w:r>
                    <w:rPr>
                      <w:rFonts w:eastAsia="Times New Roman"/>
                      <w:sz w:val="45"/>
                      <w:szCs w:val="45"/>
                    </w:rPr>
                    <w:softHyphen/>
                  </w:r>
                </w:p>
              </w:tc>
            </w:tr>
            <w:tr w:rsidR="000556E9">
              <w:trPr>
                <w:jc w:val="center"/>
              </w:trPr>
              <w:tc>
                <w:tcPr>
                  <w:tcW w:w="0" w:type="auto"/>
                  <w:tcBorders>
                    <w:top w:val="single" w:sz="18" w:space="0" w:color="000000"/>
                    <w:left w:val="nil"/>
                    <w:bottom w:val="nil"/>
                    <w:right w:val="nil"/>
                  </w:tcBorders>
                  <w:shd w:val="clear" w:color="auto" w:fill="FFFFFF"/>
                  <w:tcMar>
                    <w:top w:w="300" w:type="dxa"/>
                    <w:left w:w="0" w:type="dxa"/>
                    <w:bottom w:w="0" w:type="dxa"/>
                    <w:right w:w="0" w:type="dxa"/>
                  </w:tcMar>
                  <w:vAlign w:val="center"/>
                  <w:hideMark/>
                </w:tcPr>
                <w:tbl>
                  <w:tblPr>
                    <w:tblW w:w="5000" w:type="pct"/>
                    <w:tblCellMar>
                      <w:left w:w="0" w:type="dxa"/>
                      <w:right w:w="0" w:type="dxa"/>
                    </w:tblCellMar>
                    <w:tblLook w:val="04A0"/>
                  </w:tblPr>
                  <w:tblGrid>
                    <w:gridCol w:w="6000"/>
                    <w:gridCol w:w="3030"/>
                  </w:tblGrid>
                  <w:tr w:rsidR="000556E9">
                    <w:tc>
                      <w:tcPr>
                        <w:tcW w:w="3300" w:type="pct"/>
                        <w:hideMark/>
                      </w:tcPr>
                      <w:tbl>
                        <w:tblPr>
                          <w:tblW w:w="5000" w:type="pct"/>
                          <w:tblCellMar>
                            <w:left w:w="0" w:type="dxa"/>
                            <w:right w:w="0" w:type="dxa"/>
                          </w:tblCellMar>
                          <w:tblLook w:val="04A0"/>
                        </w:tblPr>
                        <w:tblGrid>
                          <w:gridCol w:w="6000"/>
                        </w:tblGrid>
                        <w:tr w:rsidR="000556E9">
                          <w:tc>
                            <w:tcPr>
                              <w:tcW w:w="0" w:type="auto"/>
                              <w:hideMark/>
                            </w:tcPr>
                            <w:tbl>
                              <w:tblPr>
                                <w:tblW w:w="5000" w:type="pct"/>
                                <w:tblCellMar>
                                  <w:left w:w="0" w:type="dxa"/>
                                  <w:right w:w="0" w:type="dxa"/>
                                </w:tblCellMar>
                                <w:tblLook w:val="04A0"/>
                              </w:tblPr>
                              <w:tblGrid>
                                <w:gridCol w:w="6000"/>
                              </w:tblGrid>
                              <w:tr w:rsidR="000556E9">
                                <w:tc>
                                  <w:tcPr>
                                    <w:tcW w:w="0" w:type="auto"/>
                                    <w:vAlign w:val="center"/>
                                    <w:hideMark/>
                                  </w:tcPr>
                                  <w:tbl>
                                    <w:tblPr>
                                      <w:tblW w:w="5000" w:type="pct"/>
                                      <w:tblCellMar>
                                        <w:left w:w="0" w:type="dxa"/>
                                        <w:right w:w="0" w:type="dxa"/>
                                      </w:tblCellMar>
                                      <w:tblLook w:val="04A0"/>
                                    </w:tblPr>
                                    <w:tblGrid>
                                      <w:gridCol w:w="6000"/>
                                    </w:tblGrid>
                                    <w:tr w:rsidR="000556E9">
                                      <w:tc>
                                        <w:tcPr>
                                          <w:tcW w:w="0" w:type="auto"/>
                                          <w:hideMark/>
                                        </w:tcPr>
                                        <w:p w:rsidR="000556E9" w:rsidRDefault="000556E9">
                                          <w:pPr>
                                            <w:pStyle w:val="Titre2"/>
                                            <w:rPr>
                                              <w:rFonts w:ascii="Verdana" w:eastAsia="Times New Roman" w:hAnsi="Verdana"/>
                                              <w:sz w:val="42"/>
                                              <w:szCs w:val="42"/>
                                            </w:rPr>
                                          </w:pPr>
                                          <w:r>
                                            <w:rPr>
                                              <w:rFonts w:ascii="Verdana" w:eastAsia="Times New Roman" w:hAnsi="Verdana"/>
                                              <w:sz w:val="42"/>
                                              <w:szCs w:val="42"/>
                                            </w:rPr>
                                            <w:t>Premier gabarit de vote pour garantir le secret des urnes aux aveugles et malvoyants</w:t>
                                          </w:r>
                                        </w:p>
                                      </w:tc>
                                    </w:tr>
                                    <w:tr w:rsidR="000556E9">
                                      <w:trPr>
                                        <w:trHeight w:val="60"/>
                                      </w:trPr>
                                      <w:tc>
                                        <w:tcPr>
                                          <w:tcW w:w="0" w:type="auto"/>
                                          <w:vAlign w:val="center"/>
                                          <w:hideMark/>
                                        </w:tcPr>
                                        <w:p w:rsidR="000556E9" w:rsidRDefault="000556E9">
                                          <w:pPr>
                                            <w:spacing w:line="75" w:lineRule="exact"/>
                                            <w:rPr>
                                              <w:rFonts w:eastAsia="Times New Roman"/>
                                              <w:sz w:val="8"/>
                                              <w:szCs w:val="8"/>
                                            </w:rPr>
                                          </w:pPr>
                                          <w:r>
                                            <w:rPr>
                                              <w:rFonts w:eastAsia="Times New Roman"/>
                                              <w:sz w:val="8"/>
                                              <w:szCs w:val="8"/>
                                            </w:rPr>
                                            <w:softHyphen/>
                                          </w:r>
                                        </w:p>
                                      </w:tc>
                                    </w:tr>
                                  </w:tbl>
                                  <w:p w:rsidR="000556E9" w:rsidRDefault="000556E9">
                                    <w:pPr>
                                      <w:rPr>
                                        <w:rFonts w:eastAsia="Times New Roman"/>
                                        <w:color w:val="auto"/>
                                        <w:sz w:val="20"/>
                                        <w:szCs w:val="20"/>
                                      </w:rPr>
                                    </w:pPr>
                                  </w:p>
                                </w:tc>
                              </w:tr>
                              <w:tr w:rsidR="000556E9">
                                <w:tc>
                                  <w:tcPr>
                                    <w:tcW w:w="0" w:type="auto"/>
                                    <w:vAlign w:val="center"/>
                                    <w:hideMark/>
                                  </w:tcPr>
                                  <w:tbl>
                                    <w:tblPr>
                                      <w:tblW w:w="5000" w:type="pct"/>
                                      <w:tblCellMar>
                                        <w:left w:w="0" w:type="dxa"/>
                                        <w:right w:w="0" w:type="dxa"/>
                                      </w:tblCellMar>
                                      <w:tblLook w:val="04A0"/>
                                    </w:tblPr>
                                    <w:tblGrid>
                                      <w:gridCol w:w="6000"/>
                                    </w:tblGrid>
                                    <w:tr w:rsidR="000556E9">
                                      <w:tc>
                                        <w:tcPr>
                                          <w:tcW w:w="0" w:type="auto"/>
                                          <w:hideMark/>
                                        </w:tcPr>
                                        <w:p w:rsidR="000556E9" w:rsidRDefault="000556E9">
                                          <w:pPr>
                                            <w:pStyle w:val="NormalWeb"/>
                                            <w:rPr>
                                              <w:rFonts w:ascii="Verdana" w:hAnsi="Verdana"/>
                                              <w:sz w:val="30"/>
                                              <w:szCs w:val="30"/>
                                            </w:rPr>
                                          </w:pPr>
                                          <w:r>
                                            <w:rPr>
                                              <w:rFonts w:ascii="Verdana" w:hAnsi="Verdana"/>
                                              <w:sz w:val="27"/>
                                              <w:szCs w:val="27"/>
                                            </w:rPr>
                                            <w:t>Afin de garantir la confidentialité du vote, un gabarit de vote sera disponible pour la première fois lors de la votation populaire fédérale du 30 novembre 2025, pour l'instant exclusivement dans le canton de Zurich. il permettra aux électeurs aveugles et malvoyants de remplir leur bulletin de vote de manière autonome et secrète.</w:t>
                                          </w:r>
                                        </w:p>
                                        <w:p w:rsidR="000556E9" w:rsidRDefault="000556E9">
                                          <w:pPr>
                                            <w:pStyle w:val="NormalWeb"/>
                                            <w:rPr>
                                              <w:rFonts w:ascii="Verdana" w:hAnsi="Verdana"/>
                                              <w:sz w:val="30"/>
                                              <w:szCs w:val="30"/>
                                            </w:rPr>
                                          </w:pPr>
                                          <w:r>
                                            <w:rPr>
                                              <w:rFonts w:ascii="Verdana" w:hAnsi="Verdana"/>
                                              <w:sz w:val="30"/>
                                              <w:szCs w:val="30"/>
                                            </w:rPr>
                                            <w:t> </w:t>
                                          </w:r>
                                        </w:p>
                                        <w:p w:rsidR="000556E9" w:rsidRDefault="000556E9">
                                          <w:pPr>
                                            <w:pStyle w:val="NormalWeb"/>
                                            <w:rPr>
                                              <w:rFonts w:ascii="Verdana" w:hAnsi="Verdana"/>
                                              <w:sz w:val="30"/>
                                              <w:szCs w:val="30"/>
                                            </w:rPr>
                                          </w:pPr>
                                          <w:hyperlink r:id="rId7" w:tgtFrame="_blank" w:tooltip="Lire l'article sur le site web" w:history="1">
                                            <w:r>
                                              <w:rPr>
                                                <w:rStyle w:val="Lienhypertexte"/>
                                                <w:rFonts w:ascii="Verdana" w:hAnsi="Verdana"/>
                                                <w:sz w:val="30"/>
                                                <w:szCs w:val="30"/>
                                              </w:rPr>
                                              <w:t>Vers l'article</w:t>
                                            </w:r>
                                          </w:hyperlink>
                                        </w:p>
                                      </w:tc>
                                    </w:tr>
                                    <w:tr w:rsidR="000556E9">
                                      <w:trPr>
                                        <w:trHeight w:val="180"/>
                                      </w:trPr>
                                      <w:tc>
                                        <w:tcPr>
                                          <w:tcW w:w="0" w:type="auto"/>
                                          <w:vAlign w:val="center"/>
                                          <w:hideMark/>
                                        </w:tcPr>
                                        <w:p w:rsidR="000556E9" w:rsidRDefault="000556E9">
                                          <w:pPr>
                                            <w:spacing w:line="225" w:lineRule="exact"/>
                                            <w:rPr>
                                              <w:rFonts w:eastAsia="Times New Roman"/>
                                              <w:sz w:val="23"/>
                                              <w:szCs w:val="23"/>
                                            </w:rPr>
                                          </w:pPr>
                                          <w:r>
                                            <w:rPr>
                                              <w:rFonts w:eastAsia="Times New Roman"/>
                                              <w:sz w:val="23"/>
                                              <w:szCs w:val="23"/>
                                            </w:rPr>
                                            <w:softHyphen/>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0556E9">
                          <w:tc>
                            <w:tcPr>
                              <w:tcW w:w="0" w:type="auto"/>
                              <w:hideMark/>
                            </w:tcPr>
                            <w:tbl>
                              <w:tblPr>
                                <w:tblW w:w="5000" w:type="pct"/>
                                <w:tblCellMar>
                                  <w:left w:w="0" w:type="dxa"/>
                                  <w:right w:w="0" w:type="dxa"/>
                                </w:tblCellMar>
                                <w:tblLook w:val="04A0"/>
                              </w:tblPr>
                              <w:tblGrid>
                                <w:gridCol w:w="3030"/>
                              </w:tblGrid>
                              <w:tr w:rsidR="000556E9">
                                <w:tc>
                                  <w:tcPr>
                                    <w:tcW w:w="0" w:type="auto"/>
                                    <w:vAlign w:val="center"/>
                                    <w:hideMark/>
                                  </w:tcPr>
                                  <w:tbl>
                                    <w:tblPr>
                                      <w:tblW w:w="2985" w:type="dxa"/>
                                      <w:tblCellMar>
                                        <w:left w:w="0" w:type="dxa"/>
                                        <w:right w:w="0" w:type="dxa"/>
                                      </w:tblCellMar>
                                      <w:tblLook w:val="04A0"/>
                                    </w:tblPr>
                                    <w:tblGrid>
                                      <w:gridCol w:w="3030"/>
                                    </w:tblGrid>
                                    <w:tr w:rsidR="000556E9">
                                      <w:tc>
                                        <w:tcPr>
                                          <w:tcW w:w="0" w:type="auto"/>
                                          <w:tcMar>
                                            <w:top w:w="0" w:type="dxa"/>
                                            <w:left w:w="300" w:type="dxa"/>
                                            <w:bottom w:w="0" w:type="dxa"/>
                                            <w:right w:w="0" w:type="dxa"/>
                                          </w:tcMar>
                                          <w:vAlign w:val="center"/>
                                          <w:hideMark/>
                                        </w:tcPr>
                                        <w:p w:rsidR="000556E9" w:rsidRDefault="000556E9">
                                          <w:pPr>
                                            <w:spacing w:before="90"/>
                                            <w:rPr>
                                              <w:rFonts w:eastAsia="Times New Roman"/>
                                            </w:rPr>
                                          </w:pPr>
                                          <w:r>
                                            <w:rPr>
                                              <w:rFonts w:eastAsia="Times New Roman"/>
                                              <w:noProof/>
                                            </w:rPr>
                                            <w:drawing>
                                              <wp:inline distT="0" distB="0" distL="0" distR="0">
                                                <wp:extent cx="1706880" cy="1706880"/>
                                                <wp:effectExtent l="19050" t="0" r="7620" b="0"/>
                                                <wp:docPr id="3" name="Image 3" descr="Gabarit de vote, on voit une main avec un stylo qui suit le mot « Non » dans le modèle d'écr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barit de vote, on voit une main avec un stylo qui suit le mot « Non » dans le modèle d'écriture."/>
                                                        <pic:cNvPicPr>
                                                          <a:picLocks noChangeAspect="1" noChangeArrowheads="1"/>
                                                        </pic:cNvPicPr>
                                                      </pic:nvPicPr>
                                                      <pic:blipFill>
                                                        <a:blip r:embed="rId8"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vanish/>
              </w:rPr>
            </w:pPr>
          </w:p>
          <w:tbl>
            <w:tblPr>
              <w:tblW w:w="5000" w:type="pct"/>
              <w:jc w:val="center"/>
              <w:tblCellMar>
                <w:left w:w="0" w:type="dxa"/>
                <w:right w:w="0" w:type="dxa"/>
              </w:tblCellMar>
              <w:tblLook w:val="04A0"/>
            </w:tblPr>
            <w:tblGrid>
              <w:gridCol w:w="9030"/>
            </w:tblGrid>
            <w:tr w:rsidR="000556E9">
              <w:trPr>
                <w:trHeight w:val="360"/>
                <w:jc w:val="center"/>
              </w:trPr>
              <w:tc>
                <w:tcPr>
                  <w:tcW w:w="0" w:type="auto"/>
                  <w:vAlign w:val="center"/>
                  <w:hideMark/>
                </w:tcPr>
                <w:p w:rsidR="000556E9" w:rsidRDefault="000556E9">
                  <w:pPr>
                    <w:spacing w:line="450" w:lineRule="exact"/>
                    <w:rPr>
                      <w:rFonts w:eastAsia="Times New Roman"/>
                      <w:sz w:val="45"/>
                      <w:szCs w:val="45"/>
                    </w:rPr>
                  </w:pPr>
                  <w:r>
                    <w:rPr>
                      <w:rFonts w:eastAsia="Times New Roman"/>
                      <w:sz w:val="45"/>
                      <w:szCs w:val="45"/>
                    </w:rPr>
                    <w:lastRenderedPageBreak/>
                    <w:softHyphen/>
                  </w:r>
                </w:p>
              </w:tc>
            </w:tr>
            <w:tr w:rsidR="000556E9">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0556E9">
                    <w:tc>
                      <w:tcPr>
                        <w:tcW w:w="5000" w:type="pct"/>
                        <w:hideMark/>
                      </w:tcPr>
                      <w:tbl>
                        <w:tblPr>
                          <w:tblW w:w="5000" w:type="pct"/>
                          <w:tblCellMar>
                            <w:left w:w="0" w:type="dxa"/>
                            <w:right w:w="0" w:type="dxa"/>
                          </w:tblCellMar>
                          <w:tblLook w:val="04A0"/>
                        </w:tblPr>
                        <w:tblGrid>
                          <w:gridCol w:w="9030"/>
                        </w:tblGrid>
                        <w:tr w:rsidR="000556E9">
                          <w:tc>
                            <w:tcPr>
                              <w:tcW w:w="0" w:type="auto"/>
                              <w:hideMark/>
                            </w:tcPr>
                            <w:tbl>
                              <w:tblPr>
                                <w:tblW w:w="5000" w:type="pct"/>
                                <w:tblCellMar>
                                  <w:left w:w="0" w:type="dxa"/>
                                  <w:right w:w="0" w:type="dxa"/>
                                </w:tblCellMar>
                                <w:tblLook w:val="04A0"/>
                              </w:tblPr>
                              <w:tblGrid>
                                <w:gridCol w:w="9030"/>
                              </w:tblGrid>
                              <w:tr w:rsidR="000556E9">
                                <w:tc>
                                  <w:tcPr>
                                    <w:tcW w:w="0" w:type="auto"/>
                                    <w:vAlign w:val="center"/>
                                    <w:hideMark/>
                                  </w:tcPr>
                                  <w:tbl>
                                    <w:tblPr>
                                      <w:tblW w:w="5000" w:type="pct"/>
                                      <w:tblCellMar>
                                        <w:left w:w="0" w:type="dxa"/>
                                        <w:right w:w="0" w:type="dxa"/>
                                      </w:tblCellMar>
                                      <w:tblLook w:val="04A0"/>
                                    </w:tblPr>
                                    <w:tblGrid>
                                      <w:gridCol w:w="9030"/>
                                    </w:tblGrid>
                                    <w:tr w:rsidR="000556E9">
                                      <w:tc>
                                        <w:tcPr>
                                          <w:tcW w:w="0" w:type="auto"/>
                                          <w:hideMark/>
                                        </w:tcPr>
                                        <w:p w:rsidR="000556E9" w:rsidRDefault="000556E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Ajournement de la rente AVS: risque pour les bénéficiaires d’une allocation pour impotent</w:t>
                                          </w:r>
                                        </w:p>
                                      </w:tc>
                                    </w:tr>
                                    <w:tr w:rsidR="000556E9">
                                      <w:trPr>
                                        <w:trHeight w:val="60"/>
                                      </w:trPr>
                                      <w:tc>
                                        <w:tcPr>
                                          <w:tcW w:w="0" w:type="auto"/>
                                          <w:vAlign w:val="center"/>
                                          <w:hideMark/>
                                        </w:tcPr>
                                        <w:p w:rsidR="000556E9" w:rsidRDefault="000556E9">
                                          <w:pPr>
                                            <w:spacing w:line="75" w:lineRule="exact"/>
                                            <w:rPr>
                                              <w:rFonts w:eastAsia="Times New Roman"/>
                                              <w:sz w:val="8"/>
                                              <w:szCs w:val="8"/>
                                            </w:rPr>
                                          </w:pPr>
                                          <w:r>
                                            <w:rPr>
                                              <w:rFonts w:eastAsia="Times New Roman"/>
                                              <w:sz w:val="8"/>
                                              <w:szCs w:val="8"/>
                                            </w:rPr>
                                            <w:softHyphen/>
                                          </w:r>
                                        </w:p>
                                      </w:tc>
                                    </w:tr>
                                  </w:tbl>
                                  <w:p w:rsidR="000556E9" w:rsidRDefault="000556E9">
                                    <w:pPr>
                                      <w:rPr>
                                        <w:rFonts w:eastAsia="Times New Roman"/>
                                        <w:color w:val="auto"/>
                                        <w:sz w:val="20"/>
                                        <w:szCs w:val="20"/>
                                      </w:rPr>
                                    </w:pPr>
                                  </w:p>
                                </w:tc>
                              </w:tr>
                              <w:tr w:rsidR="000556E9">
                                <w:tc>
                                  <w:tcPr>
                                    <w:tcW w:w="0" w:type="auto"/>
                                    <w:vAlign w:val="center"/>
                                    <w:hideMark/>
                                  </w:tcPr>
                                  <w:tbl>
                                    <w:tblPr>
                                      <w:tblW w:w="5000" w:type="pct"/>
                                      <w:tblCellMar>
                                        <w:left w:w="0" w:type="dxa"/>
                                        <w:right w:w="0" w:type="dxa"/>
                                      </w:tblCellMar>
                                      <w:tblLook w:val="04A0"/>
                                    </w:tblPr>
                                    <w:tblGrid>
                                      <w:gridCol w:w="9030"/>
                                    </w:tblGrid>
                                    <w:tr w:rsidR="000556E9">
                                      <w:tc>
                                        <w:tcPr>
                                          <w:tcW w:w="0" w:type="auto"/>
                                          <w:hideMark/>
                                        </w:tcPr>
                                        <w:p w:rsidR="000556E9" w:rsidRDefault="000556E9">
                                          <w:pPr>
                                            <w:pStyle w:val="NormalWeb"/>
                                            <w:rPr>
                                              <w:rFonts w:ascii="Atkinson Hyperlegible" w:hAnsi="Atkinson Hyperlegible"/>
                                              <w:sz w:val="30"/>
                                              <w:szCs w:val="30"/>
                                            </w:rPr>
                                          </w:pPr>
                                          <w:r>
                                            <w:rPr>
                                              <w:rFonts w:ascii="Atkinson Hyperlegible" w:hAnsi="Atkinson Hyperlegible"/>
                                              <w:sz w:val="27"/>
                                              <w:szCs w:val="27"/>
                                            </w:rPr>
                                            <w:t>Une adaptation des bases légales de l’AVS suscite quelques inquiétudes chez les personnes bénéficiant d'une allocation pour impotent de l'AI: les assuré-e-s qui reportent le versement de leur rente de vieillesse AVS risquent de perdre durablement leur droit acquis à l’allocation. </w:t>
                                          </w:r>
                                        </w:p>
                                        <w:p w:rsidR="000556E9" w:rsidRDefault="000556E9">
                                          <w:pPr>
                                            <w:pStyle w:val="NormalWeb"/>
                                            <w:rPr>
                                              <w:rFonts w:ascii="Atkinson Hyperlegible" w:hAnsi="Atkinson Hyperlegible"/>
                                              <w:sz w:val="30"/>
                                              <w:szCs w:val="30"/>
                                            </w:rPr>
                                          </w:pPr>
                                          <w:r>
                                            <w:rPr>
                                              <w:rFonts w:ascii="Atkinson Hyperlegible" w:hAnsi="Atkinson Hyperlegible"/>
                                              <w:sz w:val="30"/>
                                              <w:szCs w:val="30"/>
                                            </w:rPr>
                                            <w:t> </w:t>
                                          </w:r>
                                        </w:p>
                                        <w:p w:rsidR="000556E9" w:rsidRDefault="000556E9">
                                          <w:pPr>
                                            <w:pStyle w:val="NormalWeb"/>
                                            <w:rPr>
                                              <w:rFonts w:ascii="Atkinson Hyperlegible" w:hAnsi="Atkinson Hyperlegible"/>
                                              <w:sz w:val="30"/>
                                              <w:szCs w:val="30"/>
                                            </w:rPr>
                                          </w:pPr>
                                          <w:hyperlink r:id="rId9" w:tgtFrame="_blank" w:tooltip="Lire l'article sur le site web" w:history="1">
                                            <w:r>
                                              <w:rPr>
                                                <w:rStyle w:val="Lienhypertexte"/>
                                                <w:rFonts w:ascii="Atkinson Hyperlegible" w:hAnsi="Atkinson Hyperlegible"/>
                                                <w:sz w:val="30"/>
                                                <w:szCs w:val="30"/>
                                              </w:rPr>
                                              <w:t>Vers l'article</w:t>
                                            </w:r>
                                          </w:hyperlink>
                                        </w:p>
                                      </w:tc>
                                    </w:tr>
                                    <w:tr w:rsidR="000556E9">
                                      <w:trPr>
                                        <w:trHeight w:val="180"/>
                                      </w:trPr>
                                      <w:tc>
                                        <w:tcPr>
                                          <w:tcW w:w="0" w:type="auto"/>
                                          <w:vAlign w:val="center"/>
                                          <w:hideMark/>
                                        </w:tcPr>
                                        <w:p w:rsidR="000556E9" w:rsidRDefault="000556E9">
                                          <w:pPr>
                                            <w:spacing w:line="225" w:lineRule="exact"/>
                                            <w:rPr>
                                              <w:rFonts w:eastAsia="Times New Roman"/>
                                              <w:sz w:val="23"/>
                                              <w:szCs w:val="23"/>
                                            </w:rPr>
                                          </w:pPr>
                                          <w:r>
                                            <w:rPr>
                                              <w:rFonts w:eastAsia="Times New Roman"/>
                                              <w:sz w:val="23"/>
                                              <w:szCs w:val="23"/>
                                            </w:rPr>
                                            <w:softHyphen/>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jc w:val="center"/>
              <w:rPr>
                <w:rFonts w:eastAsia="Times New Roman"/>
                <w:color w:val="auto"/>
                <w:sz w:val="20"/>
                <w:szCs w:val="20"/>
              </w:rPr>
            </w:pPr>
          </w:p>
        </w:tc>
      </w:tr>
    </w:tbl>
    <w:p w:rsidR="000556E9" w:rsidRDefault="000556E9" w:rsidP="000556E9">
      <w:pPr>
        <w:rPr>
          <w:rFonts w:eastAsia="Times New Roman"/>
          <w:vanish/>
          <w:lang w:val="en-US"/>
        </w:rPr>
      </w:pPr>
    </w:p>
    <w:tbl>
      <w:tblPr>
        <w:tblW w:w="5000" w:type="pct"/>
        <w:jc w:val="center"/>
        <w:tblCellMar>
          <w:left w:w="0" w:type="dxa"/>
          <w:right w:w="0" w:type="dxa"/>
        </w:tblCellMar>
        <w:tblLook w:val="04A0"/>
      </w:tblPr>
      <w:tblGrid>
        <w:gridCol w:w="9072"/>
      </w:tblGrid>
      <w:tr w:rsidR="000556E9" w:rsidTr="000556E9">
        <w:trPr>
          <w:trHeight w:val="600"/>
          <w:jc w:val="center"/>
        </w:trPr>
        <w:tc>
          <w:tcPr>
            <w:tcW w:w="0" w:type="auto"/>
            <w:vAlign w:val="center"/>
            <w:hideMark/>
          </w:tcPr>
          <w:p w:rsidR="000556E9" w:rsidRDefault="000556E9">
            <w:pPr>
              <w:spacing w:line="750" w:lineRule="exact"/>
              <w:rPr>
                <w:rFonts w:eastAsia="Times New Roman"/>
                <w:sz w:val="75"/>
                <w:szCs w:val="75"/>
              </w:rPr>
            </w:pPr>
            <w:r>
              <w:rPr>
                <w:rFonts w:eastAsia="Times New Roman"/>
                <w:sz w:val="75"/>
                <w:szCs w:val="75"/>
              </w:rPr>
              <w:softHyphen/>
            </w:r>
          </w:p>
        </w:tc>
      </w:tr>
      <w:tr w:rsidR="000556E9" w:rsidTr="000556E9">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0556E9">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0556E9">
                    <w:tc>
                      <w:tcPr>
                        <w:tcW w:w="5000" w:type="pct"/>
                      </w:tcPr>
                      <w:tbl>
                        <w:tblPr>
                          <w:tblpPr w:vertAnchor="text"/>
                          <w:tblW w:w="5000" w:type="pct"/>
                          <w:tblCellMar>
                            <w:left w:w="0" w:type="dxa"/>
                            <w:right w:w="0" w:type="dxa"/>
                          </w:tblCellMar>
                          <w:tblLook w:val="04A0"/>
                        </w:tblPr>
                        <w:tblGrid>
                          <w:gridCol w:w="9000"/>
                        </w:tblGrid>
                        <w:tr w:rsidR="000556E9">
                          <w:tc>
                            <w:tcPr>
                              <w:tcW w:w="0" w:type="auto"/>
                              <w:hideMark/>
                            </w:tcPr>
                            <w:p w:rsidR="000556E9" w:rsidRDefault="000556E9">
                              <w:pPr>
                                <w:pStyle w:val="Titre2"/>
                                <w:rPr>
                                  <w:rFonts w:ascii="Atkinson Hyperlegible" w:eastAsia="Times New Roman" w:hAnsi="Atkinson Hyperlegible"/>
                                  <w:sz w:val="42"/>
                                  <w:szCs w:val="42"/>
                                </w:rPr>
                              </w:pPr>
                              <w:r>
                                <w:rPr>
                                  <w:rFonts w:ascii="Atkinson Hyperlegible" w:eastAsia="Times New Roman" w:hAnsi="Atkinson Hyperlegible"/>
                                  <w:sz w:val="30"/>
                                  <w:szCs w:val="30"/>
                                  <w:shd w:val="clear" w:color="auto" w:fill="FFFFFF"/>
                                </w:rPr>
                                <w:t> De la fédération: </w:t>
                              </w:r>
                              <w:r>
                                <w:rPr>
                                  <w:rFonts w:ascii="Atkinson Hyperlegible" w:eastAsia="Times New Roman" w:hAnsi="Atkinson Hyperlegible"/>
                                  <w:sz w:val="42"/>
                                  <w:szCs w:val="42"/>
                                </w:rPr>
                                <w:br/>
                                <w:t>Des actions réussies pour la Journée de la canne blanche</w:t>
                              </w:r>
                            </w:p>
                          </w:tc>
                        </w:tr>
                      </w:tbl>
                      <w:p w:rsidR="000556E9" w:rsidRDefault="000556E9">
                        <w:pPr>
                          <w:rPr>
                            <w:rFonts w:eastAsia="Times New Roman"/>
                            <w:vanish/>
                          </w:rPr>
                        </w:pPr>
                      </w:p>
                      <w:tbl>
                        <w:tblPr>
                          <w:tblpPr w:vertAnchor="text"/>
                          <w:tblW w:w="5000" w:type="pct"/>
                          <w:tblCellMar>
                            <w:left w:w="0" w:type="dxa"/>
                            <w:right w:w="0" w:type="dxa"/>
                          </w:tblCellMar>
                          <w:tblLook w:val="04A0"/>
                        </w:tblPr>
                        <w:tblGrid>
                          <w:gridCol w:w="9000"/>
                        </w:tblGrid>
                        <w:tr w:rsidR="000556E9">
                          <w:tc>
                            <w:tcPr>
                              <w:tcW w:w="0" w:type="auto"/>
                              <w:tcMar>
                                <w:top w:w="225" w:type="dxa"/>
                                <w:left w:w="0" w:type="dxa"/>
                                <w:bottom w:w="225" w:type="dxa"/>
                                <w:right w:w="0" w:type="dxa"/>
                              </w:tcMar>
                              <w:hideMark/>
                            </w:tcPr>
                            <w:p w:rsidR="000556E9" w:rsidRDefault="000556E9">
                              <w:pPr>
                                <w:pStyle w:val="NormalWeb"/>
                                <w:rPr>
                                  <w:rFonts w:ascii="Atkinson Hyperlegible" w:hAnsi="Atkinson Hyperlegible"/>
                                  <w:sz w:val="30"/>
                                  <w:szCs w:val="30"/>
                                </w:rPr>
                              </w:pPr>
                              <w:r>
                                <w:rPr>
                                  <w:rFonts w:ascii="Atkinson Hyperlegible" w:hAnsi="Atkinson Hyperlegible"/>
                                  <w:sz w:val="30"/>
                                  <w:szCs w:val="30"/>
                                </w:rPr>
                                <w:t xml:space="preserve">La Journée de la canne blanche de cette année a été un succès. Les nombreuses actions locales des sections de la </w:t>
                              </w:r>
                              <w:proofErr w:type="spellStart"/>
                              <w:r>
                                <w:rPr>
                                  <w:rFonts w:ascii="Atkinson Hyperlegible" w:hAnsi="Atkinson Hyperlegible"/>
                                  <w:sz w:val="30"/>
                                  <w:szCs w:val="30"/>
                                </w:rPr>
                                <w:t>fsa</w:t>
                              </w:r>
                              <w:proofErr w:type="spellEnd"/>
                              <w:r>
                                <w:rPr>
                                  <w:rFonts w:ascii="Atkinson Hyperlegible" w:hAnsi="Atkinson Hyperlegible"/>
                                  <w:sz w:val="30"/>
                                  <w:szCs w:val="30"/>
                                </w:rPr>
                                <w:t xml:space="preserve"> ont été très bien fréquentées et largement relayées dans les médias. De Genève à la Suisse orientale, les personnes concernées ont profité de l’occasion pour s’entretenir avec les passants et les passantes, les informer sur la vie avec un handicap visuel et leur faire découvrir le quotidien des personnes malvoyantes à l’aide de lunettes noires et d’une canne blanche.</w:t>
                              </w:r>
                            </w:p>
                            <w:p w:rsidR="000556E9" w:rsidRDefault="000556E9">
                              <w:pPr>
                                <w:pStyle w:val="NormalWeb"/>
                                <w:rPr>
                                  <w:rFonts w:ascii="Atkinson Hyperlegible" w:hAnsi="Atkinson Hyperlegible"/>
                                  <w:sz w:val="30"/>
                                  <w:szCs w:val="30"/>
                                </w:rPr>
                              </w:pPr>
                              <w:r>
                                <w:rPr>
                                  <w:rFonts w:ascii="Atkinson Hyperlegible" w:hAnsi="Atkinson Hyperlegible"/>
                                  <w:sz w:val="30"/>
                                  <w:szCs w:val="30"/>
                                </w:rPr>
                                <w:t> </w:t>
                              </w:r>
                            </w:p>
                            <w:p w:rsidR="000556E9" w:rsidRDefault="000556E9">
                              <w:pPr>
                                <w:pStyle w:val="NormalWeb"/>
                                <w:rPr>
                                  <w:rFonts w:ascii="Atkinson Hyperlegible" w:hAnsi="Atkinson Hyperlegible"/>
                                  <w:sz w:val="30"/>
                                  <w:szCs w:val="30"/>
                                </w:rPr>
                              </w:pPr>
                              <w:r>
                                <w:rPr>
                                  <w:rFonts w:ascii="Atkinson Hyperlegible" w:hAnsi="Atkinson Hyperlegible"/>
                                  <w:sz w:val="30"/>
                                  <w:szCs w:val="30"/>
                                </w:rPr>
                                <w:t>Vous trouverez sur notre site internet une galerie de photos ainsi qu’une sélection d’articles parus dans les médias.</w:t>
                              </w:r>
                              <w:r>
                                <w:rPr>
                                  <w:rFonts w:ascii="Atkinson Hyperlegible" w:hAnsi="Atkinson Hyperlegible"/>
                                  <w:sz w:val="30"/>
                                  <w:szCs w:val="30"/>
                                </w:rPr>
                                <w:br/>
                                <w:t> </w:t>
                              </w:r>
                            </w:p>
                            <w:p w:rsidR="000556E9" w:rsidRDefault="000556E9">
                              <w:pPr>
                                <w:pStyle w:val="NormalWeb"/>
                                <w:rPr>
                                  <w:rFonts w:ascii="Atkinson Hyperlegible" w:hAnsi="Atkinson Hyperlegible"/>
                                  <w:sz w:val="30"/>
                                  <w:szCs w:val="30"/>
                                </w:rPr>
                              </w:pPr>
                              <w:hyperlink r:id="rId10" w:tgtFrame="_blank" w:tooltip="Vers les photos et les articles de presse" w:history="1">
                                <w:r>
                                  <w:rPr>
                                    <w:rStyle w:val="Lienhypertexte"/>
                                    <w:rFonts w:ascii="Atkinson Hyperlegible" w:hAnsi="Atkinson Hyperlegible"/>
                                    <w:sz w:val="30"/>
                                    <w:szCs w:val="30"/>
                                  </w:rPr>
                                  <w:t>En savoir plus</w:t>
                                </w:r>
                              </w:hyperlink>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jc w:val="center"/>
              <w:rPr>
                <w:rFonts w:eastAsia="Times New Roman"/>
                <w:color w:val="auto"/>
                <w:sz w:val="20"/>
                <w:szCs w:val="20"/>
              </w:rPr>
            </w:pPr>
          </w:p>
        </w:tc>
      </w:tr>
      <w:tr w:rsidR="000556E9" w:rsidTr="000556E9">
        <w:trPr>
          <w:trHeight w:val="360"/>
          <w:jc w:val="center"/>
        </w:trPr>
        <w:tc>
          <w:tcPr>
            <w:tcW w:w="0" w:type="auto"/>
            <w:vAlign w:val="center"/>
            <w:hideMark/>
          </w:tcPr>
          <w:p w:rsidR="000556E9" w:rsidRDefault="000556E9">
            <w:pPr>
              <w:spacing w:line="450" w:lineRule="exact"/>
              <w:rPr>
                <w:rFonts w:eastAsia="Times New Roman"/>
                <w:sz w:val="45"/>
                <w:szCs w:val="45"/>
              </w:rPr>
            </w:pPr>
            <w:r>
              <w:rPr>
                <w:rFonts w:eastAsia="Times New Roman"/>
                <w:sz w:val="45"/>
                <w:szCs w:val="45"/>
              </w:rPr>
              <w:softHyphen/>
            </w:r>
          </w:p>
        </w:tc>
      </w:tr>
    </w:tbl>
    <w:p w:rsidR="000556E9" w:rsidRDefault="000556E9" w:rsidP="000556E9">
      <w:pPr>
        <w:rPr>
          <w:rFonts w:eastAsia="Times New Roman"/>
          <w:vanish/>
          <w:lang w:val="en-US"/>
        </w:rPr>
      </w:pPr>
    </w:p>
    <w:tbl>
      <w:tblPr>
        <w:tblW w:w="9000" w:type="dxa"/>
        <w:jc w:val="center"/>
        <w:tblCellMar>
          <w:left w:w="0" w:type="dxa"/>
          <w:right w:w="0" w:type="dxa"/>
        </w:tblCellMar>
        <w:tblLook w:val="04A0"/>
      </w:tblPr>
      <w:tblGrid>
        <w:gridCol w:w="9000"/>
      </w:tblGrid>
      <w:tr w:rsidR="000556E9" w:rsidTr="000556E9">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0556E9">
              <w:trPr>
                <w:trHeight w:val="360"/>
                <w:jc w:val="center"/>
              </w:trPr>
              <w:tc>
                <w:tcPr>
                  <w:tcW w:w="0" w:type="auto"/>
                  <w:vAlign w:val="center"/>
                  <w:hideMark/>
                </w:tcPr>
                <w:p w:rsidR="000556E9" w:rsidRDefault="000556E9">
                  <w:pPr>
                    <w:spacing w:line="450" w:lineRule="exact"/>
                    <w:rPr>
                      <w:rFonts w:eastAsia="Times New Roman"/>
                      <w:sz w:val="45"/>
                      <w:szCs w:val="45"/>
                    </w:rPr>
                  </w:pPr>
                  <w:r>
                    <w:rPr>
                      <w:rFonts w:eastAsia="Times New Roman"/>
                      <w:sz w:val="45"/>
                      <w:szCs w:val="45"/>
                    </w:rPr>
                    <w:softHyphen/>
                  </w:r>
                </w:p>
              </w:tc>
            </w:tr>
            <w:tr w:rsidR="000556E9">
              <w:trPr>
                <w:jc w:val="center"/>
              </w:trPr>
              <w:tc>
                <w:tcPr>
                  <w:tcW w:w="0" w:type="auto"/>
                  <w:shd w:val="clear" w:color="auto" w:fill="FFFFFF"/>
                  <w:vAlign w:val="center"/>
                  <w:hideMark/>
                </w:tcPr>
                <w:tbl>
                  <w:tblPr>
                    <w:tblW w:w="5000" w:type="pct"/>
                    <w:tblCellMar>
                      <w:left w:w="0" w:type="dxa"/>
                      <w:right w:w="0" w:type="dxa"/>
                    </w:tblCellMar>
                    <w:tblLook w:val="04A0"/>
                  </w:tblPr>
                  <w:tblGrid>
                    <w:gridCol w:w="5970"/>
                    <w:gridCol w:w="3030"/>
                  </w:tblGrid>
                  <w:tr w:rsidR="000556E9">
                    <w:tc>
                      <w:tcPr>
                        <w:tcW w:w="3300" w:type="pct"/>
                        <w:hideMark/>
                      </w:tcPr>
                      <w:tbl>
                        <w:tblPr>
                          <w:tblW w:w="5000" w:type="pct"/>
                          <w:tblCellMar>
                            <w:left w:w="0" w:type="dxa"/>
                            <w:right w:w="0" w:type="dxa"/>
                          </w:tblCellMar>
                          <w:tblLook w:val="04A0"/>
                        </w:tblPr>
                        <w:tblGrid>
                          <w:gridCol w:w="5970"/>
                        </w:tblGrid>
                        <w:tr w:rsidR="000556E9">
                          <w:tc>
                            <w:tcPr>
                              <w:tcW w:w="0" w:type="auto"/>
                              <w:hideMark/>
                            </w:tcPr>
                            <w:tbl>
                              <w:tblPr>
                                <w:tblW w:w="5000" w:type="pct"/>
                                <w:tblCellMar>
                                  <w:left w:w="0" w:type="dxa"/>
                                  <w:right w:w="0" w:type="dxa"/>
                                </w:tblCellMar>
                                <w:tblLook w:val="04A0"/>
                              </w:tblPr>
                              <w:tblGrid>
                                <w:gridCol w:w="5970"/>
                              </w:tblGrid>
                              <w:tr w:rsidR="000556E9">
                                <w:tc>
                                  <w:tcPr>
                                    <w:tcW w:w="0" w:type="auto"/>
                                    <w:vAlign w:val="center"/>
                                    <w:hideMark/>
                                  </w:tcPr>
                                  <w:tbl>
                                    <w:tblPr>
                                      <w:tblW w:w="5000" w:type="pct"/>
                                      <w:tblCellMar>
                                        <w:left w:w="0" w:type="dxa"/>
                                        <w:right w:w="0" w:type="dxa"/>
                                      </w:tblCellMar>
                                      <w:tblLook w:val="04A0"/>
                                    </w:tblPr>
                                    <w:tblGrid>
                                      <w:gridCol w:w="5970"/>
                                    </w:tblGrid>
                                    <w:tr w:rsidR="000556E9">
                                      <w:tc>
                                        <w:tcPr>
                                          <w:tcW w:w="0" w:type="auto"/>
                                          <w:hideMark/>
                                        </w:tcPr>
                                        <w:p w:rsidR="000556E9" w:rsidRDefault="000556E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lastRenderedPageBreak/>
                                            <w:t>Discriminée en raison d’un handicap visuel: Vivien Stadler obtient gain de cause en deuxième instance </w:t>
                                          </w:r>
                                        </w:p>
                                      </w:tc>
                                    </w:tr>
                                    <w:tr w:rsidR="000556E9">
                                      <w:trPr>
                                        <w:trHeight w:val="60"/>
                                      </w:trPr>
                                      <w:tc>
                                        <w:tcPr>
                                          <w:tcW w:w="0" w:type="auto"/>
                                          <w:vAlign w:val="center"/>
                                          <w:hideMark/>
                                        </w:tcPr>
                                        <w:p w:rsidR="000556E9" w:rsidRDefault="000556E9">
                                          <w:pPr>
                                            <w:spacing w:line="75" w:lineRule="exact"/>
                                            <w:rPr>
                                              <w:rFonts w:eastAsia="Times New Roman"/>
                                              <w:sz w:val="8"/>
                                              <w:szCs w:val="8"/>
                                            </w:rPr>
                                          </w:pPr>
                                          <w:r>
                                            <w:rPr>
                                              <w:rFonts w:eastAsia="Times New Roman"/>
                                              <w:sz w:val="8"/>
                                              <w:szCs w:val="8"/>
                                            </w:rPr>
                                            <w:softHyphen/>
                                          </w:r>
                                        </w:p>
                                      </w:tc>
                                    </w:tr>
                                  </w:tbl>
                                  <w:p w:rsidR="000556E9" w:rsidRDefault="000556E9">
                                    <w:pPr>
                                      <w:rPr>
                                        <w:rFonts w:eastAsia="Times New Roman"/>
                                        <w:color w:val="auto"/>
                                        <w:sz w:val="20"/>
                                        <w:szCs w:val="20"/>
                                      </w:rPr>
                                    </w:pPr>
                                  </w:p>
                                </w:tc>
                              </w:tr>
                              <w:tr w:rsidR="000556E9">
                                <w:tc>
                                  <w:tcPr>
                                    <w:tcW w:w="0" w:type="auto"/>
                                    <w:vAlign w:val="center"/>
                                    <w:hideMark/>
                                  </w:tcPr>
                                  <w:tbl>
                                    <w:tblPr>
                                      <w:tblW w:w="5000" w:type="pct"/>
                                      <w:tblCellMar>
                                        <w:left w:w="0" w:type="dxa"/>
                                        <w:right w:w="0" w:type="dxa"/>
                                      </w:tblCellMar>
                                      <w:tblLook w:val="04A0"/>
                                    </w:tblPr>
                                    <w:tblGrid>
                                      <w:gridCol w:w="5970"/>
                                    </w:tblGrid>
                                    <w:tr w:rsidR="000556E9">
                                      <w:tc>
                                        <w:tcPr>
                                          <w:tcW w:w="0" w:type="auto"/>
                                          <w:hideMark/>
                                        </w:tcPr>
                                        <w:p w:rsidR="000556E9" w:rsidRDefault="000556E9">
                                          <w:pPr>
                                            <w:pStyle w:val="NormalWeb"/>
                                            <w:rPr>
                                              <w:rFonts w:ascii="Atkinson Hyperlegible" w:hAnsi="Atkinson Hyperlegible"/>
                                              <w:sz w:val="30"/>
                                              <w:szCs w:val="30"/>
                                            </w:rPr>
                                          </w:pPr>
                                          <w:r>
                                            <w:rPr>
                                              <w:rFonts w:ascii="Atkinson Hyperlegible" w:hAnsi="Atkinson Hyperlegible"/>
                                              <w:sz w:val="27"/>
                                              <w:szCs w:val="27"/>
                                            </w:rPr>
                                            <w:t>Vivien Stadler a été exclue des études à la Haute école pédagogique de Zurich (HEP Zurich) en raison de son important handicap de la vue. Le Tribunal administratif du canton de Zurich vient à présent de confirmer en deuxième instance que cette exclusion était discriminatoire et qu’elle est intervenue en violation de la Constitution fédérale.</w:t>
                                          </w:r>
                                        </w:p>
                                        <w:p w:rsidR="000556E9" w:rsidRDefault="000556E9">
                                          <w:pPr>
                                            <w:pStyle w:val="NormalWeb"/>
                                            <w:rPr>
                                              <w:rFonts w:ascii="Atkinson Hyperlegible" w:hAnsi="Atkinson Hyperlegible"/>
                                              <w:sz w:val="30"/>
                                              <w:szCs w:val="30"/>
                                            </w:rPr>
                                          </w:pPr>
                                          <w:r>
                                            <w:rPr>
                                              <w:rFonts w:ascii="Atkinson Hyperlegible" w:hAnsi="Atkinson Hyperlegible"/>
                                              <w:sz w:val="30"/>
                                              <w:szCs w:val="30"/>
                                            </w:rPr>
                                            <w:t> </w:t>
                                          </w:r>
                                        </w:p>
                                        <w:p w:rsidR="000556E9" w:rsidRDefault="000556E9">
                                          <w:pPr>
                                            <w:pStyle w:val="NormalWeb"/>
                                            <w:rPr>
                                              <w:rFonts w:ascii="Atkinson Hyperlegible" w:hAnsi="Atkinson Hyperlegible"/>
                                              <w:sz w:val="30"/>
                                              <w:szCs w:val="30"/>
                                            </w:rPr>
                                          </w:pPr>
                                          <w:hyperlink r:id="rId11" w:tgtFrame="_blank" w:tooltip="Lire l'article sur le site web" w:history="1">
                                            <w:r>
                                              <w:rPr>
                                                <w:rStyle w:val="Lienhypertexte"/>
                                                <w:rFonts w:ascii="Atkinson Hyperlegible" w:hAnsi="Atkinson Hyperlegible"/>
                                                <w:sz w:val="30"/>
                                                <w:szCs w:val="30"/>
                                              </w:rPr>
                                              <w:t>Vers l'article</w:t>
                                            </w:r>
                                          </w:hyperlink>
                                        </w:p>
                                      </w:tc>
                                    </w:tr>
                                    <w:tr w:rsidR="000556E9">
                                      <w:trPr>
                                        <w:trHeight w:val="180"/>
                                      </w:trPr>
                                      <w:tc>
                                        <w:tcPr>
                                          <w:tcW w:w="0" w:type="auto"/>
                                          <w:vAlign w:val="center"/>
                                          <w:hideMark/>
                                        </w:tcPr>
                                        <w:p w:rsidR="000556E9" w:rsidRDefault="000556E9">
                                          <w:pPr>
                                            <w:spacing w:line="225" w:lineRule="exact"/>
                                            <w:rPr>
                                              <w:rFonts w:eastAsia="Times New Roman"/>
                                              <w:sz w:val="23"/>
                                              <w:szCs w:val="23"/>
                                            </w:rPr>
                                          </w:pPr>
                                          <w:r>
                                            <w:rPr>
                                              <w:rFonts w:eastAsia="Times New Roman"/>
                                              <w:sz w:val="23"/>
                                              <w:szCs w:val="23"/>
                                            </w:rPr>
                                            <w:softHyphen/>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0556E9">
                          <w:tc>
                            <w:tcPr>
                              <w:tcW w:w="0" w:type="auto"/>
                              <w:hideMark/>
                            </w:tcPr>
                            <w:tbl>
                              <w:tblPr>
                                <w:tblW w:w="5000" w:type="pct"/>
                                <w:tblCellMar>
                                  <w:left w:w="0" w:type="dxa"/>
                                  <w:right w:w="0" w:type="dxa"/>
                                </w:tblCellMar>
                                <w:tblLook w:val="04A0"/>
                              </w:tblPr>
                              <w:tblGrid>
                                <w:gridCol w:w="3030"/>
                              </w:tblGrid>
                              <w:tr w:rsidR="000556E9">
                                <w:tc>
                                  <w:tcPr>
                                    <w:tcW w:w="0" w:type="auto"/>
                                    <w:vAlign w:val="center"/>
                                    <w:hideMark/>
                                  </w:tcPr>
                                  <w:tbl>
                                    <w:tblPr>
                                      <w:tblW w:w="2985" w:type="dxa"/>
                                      <w:tblCellMar>
                                        <w:left w:w="0" w:type="dxa"/>
                                        <w:right w:w="0" w:type="dxa"/>
                                      </w:tblCellMar>
                                      <w:tblLook w:val="04A0"/>
                                    </w:tblPr>
                                    <w:tblGrid>
                                      <w:gridCol w:w="3030"/>
                                    </w:tblGrid>
                                    <w:tr w:rsidR="000556E9">
                                      <w:tc>
                                        <w:tcPr>
                                          <w:tcW w:w="0" w:type="auto"/>
                                          <w:tcMar>
                                            <w:top w:w="0" w:type="dxa"/>
                                            <w:left w:w="300" w:type="dxa"/>
                                            <w:bottom w:w="0" w:type="dxa"/>
                                            <w:right w:w="0" w:type="dxa"/>
                                          </w:tcMar>
                                          <w:vAlign w:val="center"/>
                                          <w:hideMark/>
                                        </w:tcPr>
                                        <w:p w:rsidR="000556E9" w:rsidRDefault="000556E9">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6880" cy="1706880"/>
                                                <wp:effectExtent l="19050" t="0" r="7620" b="0"/>
                                                <wp:docPr id="4" name="Image 4" descr="Classe scolaire photographiée de dos, devant laquelle se tient un enseig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e scolaire photographiée de dos, devant laquelle se tient un enseignant"/>
                                                        <pic:cNvPicPr>
                                                          <a:picLocks noChangeAspect="1" noChangeArrowheads="1"/>
                                                        </pic:cNvPicPr>
                                                      </pic:nvPicPr>
                                                      <pic:blipFill>
                                                        <a:blip r:embed="rId12" cstate="print"/>
                                                        <a:srcRect/>
                                                        <a:stretch>
                                                          <a:fillRect/>
                                                        </a:stretch>
                                                      </pic:blipFill>
                                                      <pic:spPr bwMode="auto">
                                                        <a:xfrm>
                                                          <a:off x="0" y="0"/>
                                                          <a:ext cx="1706880" cy="1706880"/>
                                                        </a:xfrm>
                                                        <a:prstGeom prst="rect">
                                                          <a:avLst/>
                                                        </a:prstGeom>
                                                        <a:noFill/>
                                                        <a:ln w="9525">
                                                          <a:noFill/>
                                                          <a:miter lim="800000"/>
                                                          <a:headEnd/>
                                                          <a:tailEnd/>
                                                        </a:ln>
                                                      </pic:spPr>
                                                    </pic:pic>
                                                  </a:graphicData>
                                                </a:graphic>
                                              </wp:inline>
                                            </w:drawing>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jc w:val="center"/>
              <w:rPr>
                <w:rFonts w:eastAsia="Times New Roman"/>
                <w:color w:val="auto"/>
                <w:sz w:val="20"/>
                <w:szCs w:val="20"/>
              </w:rPr>
            </w:pPr>
          </w:p>
        </w:tc>
      </w:tr>
    </w:tbl>
    <w:p w:rsidR="000556E9" w:rsidRDefault="000556E9" w:rsidP="000556E9">
      <w:pPr>
        <w:rPr>
          <w:rFonts w:eastAsia="Times New Roman"/>
          <w:vanish/>
          <w:lang w:val="en-US"/>
        </w:rPr>
      </w:pPr>
    </w:p>
    <w:tbl>
      <w:tblPr>
        <w:tblW w:w="5000" w:type="pct"/>
        <w:jc w:val="center"/>
        <w:tblCellMar>
          <w:left w:w="0" w:type="dxa"/>
          <w:right w:w="0" w:type="dxa"/>
        </w:tblCellMar>
        <w:tblLook w:val="04A0"/>
      </w:tblPr>
      <w:tblGrid>
        <w:gridCol w:w="9072"/>
      </w:tblGrid>
      <w:tr w:rsidR="000556E9" w:rsidTr="000556E9">
        <w:trPr>
          <w:trHeight w:val="600"/>
          <w:jc w:val="center"/>
        </w:trPr>
        <w:tc>
          <w:tcPr>
            <w:tcW w:w="0" w:type="auto"/>
            <w:vAlign w:val="center"/>
            <w:hideMark/>
          </w:tcPr>
          <w:p w:rsidR="000556E9" w:rsidRDefault="000556E9">
            <w:pPr>
              <w:spacing w:line="750" w:lineRule="exact"/>
              <w:rPr>
                <w:rFonts w:eastAsia="Times New Roman"/>
                <w:sz w:val="75"/>
                <w:szCs w:val="75"/>
              </w:rPr>
            </w:pPr>
            <w:r>
              <w:rPr>
                <w:rFonts w:eastAsia="Times New Roman"/>
                <w:sz w:val="75"/>
                <w:szCs w:val="75"/>
              </w:rPr>
              <w:softHyphen/>
            </w:r>
          </w:p>
        </w:tc>
      </w:tr>
      <w:tr w:rsidR="000556E9" w:rsidTr="000556E9">
        <w:trPr>
          <w:jc w:val="center"/>
        </w:trPr>
        <w:tc>
          <w:tcPr>
            <w:tcW w:w="0" w:type="auto"/>
            <w:shd w:val="clear" w:color="auto" w:fill="FFE6BC"/>
            <w:hideMark/>
          </w:tcPr>
          <w:tbl>
            <w:tblPr>
              <w:tblW w:w="9000" w:type="dxa"/>
              <w:jc w:val="center"/>
              <w:tblCellMar>
                <w:left w:w="0" w:type="dxa"/>
                <w:right w:w="0" w:type="dxa"/>
              </w:tblCellMar>
              <w:tblLook w:val="04A0"/>
            </w:tblPr>
            <w:tblGrid>
              <w:gridCol w:w="9000"/>
            </w:tblGrid>
            <w:tr w:rsidR="000556E9">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0556E9">
                    <w:tc>
                      <w:tcPr>
                        <w:tcW w:w="5000" w:type="pct"/>
                      </w:tcPr>
                      <w:tbl>
                        <w:tblPr>
                          <w:tblpPr w:vertAnchor="text"/>
                          <w:tblW w:w="5000" w:type="pct"/>
                          <w:tblCellMar>
                            <w:left w:w="0" w:type="dxa"/>
                            <w:right w:w="0" w:type="dxa"/>
                          </w:tblCellMar>
                          <w:tblLook w:val="04A0"/>
                        </w:tblPr>
                        <w:tblGrid>
                          <w:gridCol w:w="9000"/>
                        </w:tblGrid>
                        <w:tr w:rsidR="000556E9">
                          <w:tc>
                            <w:tcPr>
                              <w:tcW w:w="0" w:type="auto"/>
                              <w:hideMark/>
                            </w:tcPr>
                            <w:p w:rsidR="000556E9" w:rsidRDefault="000556E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Bonnes nouvelles de notre département T&amp;I</w:t>
                              </w:r>
                            </w:p>
                          </w:tc>
                        </w:tr>
                      </w:tbl>
                      <w:p w:rsidR="000556E9" w:rsidRDefault="000556E9">
                        <w:pPr>
                          <w:rPr>
                            <w:rFonts w:eastAsia="Times New Roman"/>
                            <w:vanish/>
                          </w:rPr>
                        </w:pPr>
                      </w:p>
                      <w:tbl>
                        <w:tblPr>
                          <w:tblpPr w:vertAnchor="text"/>
                          <w:tblW w:w="5000" w:type="pct"/>
                          <w:tblCellMar>
                            <w:left w:w="0" w:type="dxa"/>
                            <w:right w:w="0" w:type="dxa"/>
                          </w:tblCellMar>
                          <w:tblLook w:val="04A0"/>
                        </w:tblPr>
                        <w:tblGrid>
                          <w:gridCol w:w="9000"/>
                        </w:tblGrid>
                        <w:tr w:rsidR="000556E9">
                          <w:tc>
                            <w:tcPr>
                              <w:tcW w:w="0" w:type="auto"/>
                              <w:tcMar>
                                <w:top w:w="225" w:type="dxa"/>
                                <w:left w:w="0" w:type="dxa"/>
                                <w:bottom w:w="225" w:type="dxa"/>
                                <w:right w:w="0" w:type="dxa"/>
                              </w:tcMar>
                              <w:hideMark/>
                            </w:tcPr>
                            <w:p w:rsidR="000556E9" w:rsidRDefault="000556E9">
                              <w:pPr>
                                <w:pStyle w:val="NormalWeb"/>
                                <w:rPr>
                                  <w:rFonts w:ascii="Atkinson Hyperlegible" w:hAnsi="Atkinson Hyperlegible"/>
                                  <w:sz w:val="30"/>
                                  <w:szCs w:val="30"/>
                                </w:rPr>
                              </w:pPr>
                              <w:r>
                                <w:rPr>
                                  <w:rFonts w:ascii="Atkinson Hyperlegible" w:hAnsi="Atkinson Hyperlegible"/>
                                  <w:sz w:val="30"/>
                                  <w:szCs w:val="30"/>
                                </w:rPr>
                                <w:t>Dans notre département Technologie &amp; Innovation, les nouveautés vont bon train et se succèdent à un rythme effréné. Afin que les nombreuses petites et grandes réussites ne passent pas inaperçues, nous rassemblons régulièrement les nouvelles les plus importantes.</w:t>
                              </w:r>
                            </w:p>
                            <w:p w:rsidR="000556E9" w:rsidRDefault="000556E9">
                              <w:pPr>
                                <w:pStyle w:val="NormalWeb"/>
                                <w:rPr>
                                  <w:rFonts w:ascii="Atkinson Hyperlegible" w:hAnsi="Atkinson Hyperlegible"/>
                                  <w:sz w:val="30"/>
                                  <w:szCs w:val="30"/>
                                </w:rPr>
                              </w:pPr>
                              <w:r>
                                <w:rPr>
                                  <w:rFonts w:ascii="Atkinson Hyperlegible" w:hAnsi="Atkinson Hyperlegible"/>
                                  <w:sz w:val="30"/>
                                  <w:szCs w:val="30"/>
                                </w:rPr>
                                <w:t> </w:t>
                              </w:r>
                            </w:p>
                            <w:p w:rsidR="000556E9" w:rsidRDefault="000556E9">
                              <w:pPr>
                                <w:pStyle w:val="NormalWeb"/>
                                <w:rPr>
                                  <w:rFonts w:ascii="Atkinson Hyperlegible" w:hAnsi="Atkinson Hyperlegible"/>
                                  <w:sz w:val="30"/>
                                  <w:szCs w:val="30"/>
                                </w:rPr>
                              </w:pPr>
                              <w:hyperlink r:id="rId13" w:tgtFrame="_blank" w:tooltip="Zum Wettbewerb" w:history="1">
                                <w:r>
                                  <w:rPr>
                                    <w:rStyle w:val="Lienhypertexte"/>
                                    <w:rFonts w:ascii="Atkinson Hyperlegible" w:hAnsi="Atkinson Hyperlegible"/>
                                    <w:sz w:val="30"/>
                                    <w:szCs w:val="30"/>
                                  </w:rPr>
                                  <w:t>Vers l'article</w:t>
                                </w:r>
                              </w:hyperlink>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jc w:val="center"/>
              <w:rPr>
                <w:rFonts w:eastAsia="Times New Roman"/>
                <w:color w:val="auto"/>
                <w:sz w:val="20"/>
                <w:szCs w:val="20"/>
              </w:rPr>
            </w:pPr>
          </w:p>
        </w:tc>
      </w:tr>
      <w:tr w:rsidR="000556E9" w:rsidTr="000556E9">
        <w:trPr>
          <w:trHeight w:val="360"/>
          <w:jc w:val="center"/>
        </w:trPr>
        <w:tc>
          <w:tcPr>
            <w:tcW w:w="0" w:type="auto"/>
            <w:vAlign w:val="center"/>
            <w:hideMark/>
          </w:tcPr>
          <w:p w:rsidR="000556E9" w:rsidRDefault="000556E9">
            <w:pPr>
              <w:spacing w:line="450" w:lineRule="exact"/>
              <w:rPr>
                <w:rFonts w:eastAsia="Times New Roman"/>
                <w:sz w:val="45"/>
                <w:szCs w:val="45"/>
              </w:rPr>
            </w:pPr>
            <w:r>
              <w:rPr>
                <w:rFonts w:eastAsia="Times New Roman"/>
                <w:sz w:val="45"/>
                <w:szCs w:val="45"/>
              </w:rPr>
              <w:softHyphen/>
            </w:r>
          </w:p>
        </w:tc>
      </w:tr>
    </w:tbl>
    <w:p w:rsidR="000556E9" w:rsidRDefault="000556E9" w:rsidP="000556E9">
      <w:pPr>
        <w:rPr>
          <w:rFonts w:eastAsia="Times New Roman"/>
          <w:vanish/>
          <w:lang w:val="en-US"/>
        </w:rPr>
      </w:pPr>
    </w:p>
    <w:tbl>
      <w:tblPr>
        <w:tblW w:w="9000" w:type="dxa"/>
        <w:jc w:val="center"/>
        <w:tblCellMar>
          <w:left w:w="0" w:type="dxa"/>
          <w:right w:w="0" w:type="dxa"/>
        </w:tblCellMar>
        <w:tblLook w:val="04A0"/>
      </w:tblPr>
      <w:tblGrid>
        <w:gridCol w:w="9000"/>
      </w:tblGrid>
      <w:tr w:rsidR="000556E9" w:rsidTr="000556E9">
        <w:trPr>
          <w:jc w:val="center"/>
        </w:trPr>
        <w:tc>
          <w:tcPr>
            <w:tcW w:w="0" w:type="auto"/>
            <w:shd w:val="clear" w:color="auto" w:fill="FFFFFF"/>
            <w:hideMark/>
          </w:tcPr>
          <w:tbl>
            <w:tblPr>
              <w:tblW w:w="5000" w:type="pct"/>
              <w:jc w:val="center"/>
              <w:tblCellMar>
                <w:left w:w="0" w:type="dxa"/>
                <w:right w:w="0" w:type="dxa"/>
              </w:tblCellMar>
              <w:tblLook w:val="04A0"/>
            </w:tblPr>
            <w:tblGrid>
              <w:gridCol w:w="9000"/>
            </w:tblGrid>
            <w:tr w:rsidR="000556E9">
              <w:trPr>
                <w:trHeight w:val="348"/>
                <w:jc w:val="center"/>
              </w:trPr>
              <w:tc>
                <w:tcPr>
                  <w:tcW w:w="0" w:type="auto"/>
                  <w:vAlign w:val="center"/>
                  <w:hideMark/>
                </w:tcPr>
                <w:p w:rsidR="000556E9" w:rsidRDefault="000556E9">
                  <w:pPr>
                    <w:spacing w:line="435" w:lineRule="exact"/>
                    <w:rPr>
                      <w:rFonts w:eastAsia="Times New Roman"/>
                      <w:sz w:val="44"/>
                      <w:szCs w:val="44"/>
                    </w:rPr>
                  </w:pPr>
                  <w:r>
                    <w:rPr>
                      <w:rFonts w:eastAsia="Times New Roman"/>
                      <w:sz w:val="44"/>
                      <w:szCs w:val="44"/>
                    </w:rPr>
                    <w:softHyphen/>
                  </w:r>
                </w:p>
              </w:tc>
            </w:tr>
            <w:tr w:rsidR="000556E9">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0556E9">
                    <w:tc>
                      <w:tcPr>
                        <w:tcW w:w="5000" w:type="pct"/>
                        <w:hideMark/>
                      </w:tcPr>
                      <w:tbl>
                        <w:tblPr>
                          <w:tblW w:w="5000" w:type="pct"/>
                          <w:tblCellMar>
                            <w:left w:w="0" w:type="dxa"/>
                            <w:right w:w="0" w:type="dxa"/>
                          </w:tblCellMar>
                          <w:tblLook w:val="04A0"/>
                        </w:tblPr>
                        <w:tblGrid>
                          <w:gridCol w:w="9000"/>
                        </w:tblGrid>
                        <w:tr w:rsidR="000556E9">
                          <w:tc>
                            <w:tcPr>
                              <w:tcW w:w="0" w:type="auto"/>
                              <w:hideMark/>
                            </w:tcPr>
                            <w:tbl>
                              <w:tblPr>
                                <w:tblW w:w="5000" w:type="pct"/>
                                <w:tblCellMar>
                                  <w:left w:w="0" w:type="dxa"/>
                                  <w:right w:w="0" w:type="dxa"/>
                                </w:tblCellMar>
                                <w:tblLook w:val="04A0"/>
                              </w:tblPr>
                              <w:tblGrid>
                                <w:gridCol w:w="9000"/>
                              </w:tblGrid>
                              <w:tr w:rsidR="000556E9">
                                <w:tc>
                                  <w:tcPr>
                                    <w:tcW w:w="0" w:type="auto"/>
                                    <w:vAlign w:val="center"/>
                                    <w:hideMark/>
                                  </w:tcPr>
                                  <w:tbl>
                                    <w:tblPr>
                                      <w:tblW w:w="5000" w:type="pct"/>
                                      <w:tblCellMar>
                                        <w:left w:w="0" w:type="dxa"/>
                                        <w:right w:w="0" w:type="dxa"/>
                                      </w:tblCellMar>
                                      <w:tblLook w:val="04A0"/>
                                    </w:tblPr>
                                    <w:tblGrid>
                                      <w:gridCol w:w="9000"/>
                                    </w:tblGrid>
                                    <w:tr w:rsidR="000556E9">
                                      <w:tc>
                                        <w:tcPr>
                                          <w:tcW w:w="0" w:type="auto"/>
                                          <w:hideMark/>
                                        </w:tcPr>
                                        <w:p w:rsidR="000556E9" w:rsidRDefault="000556E9">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Embaucher des collaboratrices et collaborateurs en situation de déficience visuelle – le Job Coaching de la </w:t>
                                          </w:r>
                                          <w:proofErr w:type="spellStart"/>
                                          <w:r>
                                            <w:rPr>
                                              <w:rFonts w:ascii="Atkinson Hyperlegible" w:eastAsia="Times New Roman" w:hAnsi="Atkinson Hyperlegible"/>
                                              <w:sz w:val="42"/>
                                              <w:szCs w:val="42"/>
                                            </w:rPr>
                                            <w:t>fsa</w:t>
                                          </w:r>
                                          <w:proofErr w:type="spellEnd"/>
                                          <w:r>
                                            <w:rPr>
                                              <w:rFonts w:ascii="Atkinson Hyperlegible" w:eastAsia="Times New Roman" w:hAnsi="Atkinson Hyperlegible"/>
                                              <w:sz w:val="42"/>
                                              <w:szCs w:val="42"/>
                                            </w:rPr>
                                            <w:t xml:space="preserve"> est là pour vous aider!</w:t>
                                          </w:r>
                                        </w:p>
                                      </w:tc>
                                    </w:tr>
                                    <w:tr w:rsidR="000556E9">
                                      <w:trPr>
                                        <w:trHeight w:val="60"/>
                                      </w:trPr>
                                      <w:tc>
                                        <w:tcPr>
                                          <w:tcW w:w="0" w:type="auto"/>
                                          <w:vAlign w:val="center"/>
                                          <w:hideMark/>
                                        </w:tcPr>
                                        <w:p w:rsidR="000556E9" w:rsidRDefault="000556E9">
                                          <w:pPr>
                                            <w:spacing w:line="75" w:lineRule="exact"/>
                                            <w:rPr>
                                              <w:rFonts w:eastAsia="Times New Roman"/>
                                              <w:sz w:val="8"/>
                                              <w:szCs w:val="8"/>
                                            </w:rPr>
                                          </w:pPr>
                                          <w:r>
                                            <w:rPr>
                                              <w:rFonts w:eastAsia="Times New Roman"/>
                                              <w:sz w:val="8"/>
                                              <w:szCs w:val="8"/>
                                            </w:rPr>
                                            <w:softHyphen/>
                                          </w:r>
                                        </w:p>
                                      </w:tc>
                                    </w:tr>
                                  </w:tbl>
                                  <w:p w:rsidR="000556E9" w:rsidRDefault="000556E9">
                                    <w:pPr>
                                      <w:rPr>
                                        <w:rFonts w:eastAsia="Times New Roman"/>
                                        <w:color w:val="auto"/>
                                        <w:sz w:val="20"/>
                                        <w:szCs w:val="20"/>
                                      </w:rPr>
                                    </w:pPr>
                                  </w:p>
                                </w:tc>
                              </w:tr>
                              <w:tr w:rsidR="000556E9">
                                <w:tc>
                                  <w:tcPr>
                                    <w:tcW w:w="0" w:type="auto"/>
                                    <w:vAlign w:val="center"/>
                                    <w:hideMark/>
                                  </w:tcPr>
                                  <w:tbl>
                                    <w:tblPr>
                                      <w:tblW w:w="5000" w:type="pct"/>
                                      <w:tblCellMar>
                                        <w:left w:w="0" w:type="dxa"/>
                                        <w:right w:w="0" w:type="dxa"/>
                                      </w:tblCellMar>
                                      <w:tblLook w:val="04A0"/>
                                    </w:tblPr>
                                    <w:tblGrid>
                                      <w:gridCol w:w="9000"/>
                                    </w:tblGrid>
                                    <w:tr w:rsidR="000556E9">
                                      <w:tc>
                                        <w:tcPr>
                                          <w:tcW w:w="0" w:type="auto"/>
                                          <w:hideMark/>
                                        </w:tcPr>
                                        <w:p w:rsidR="000556E9" w:rsidRDefault="000556E9">
                                          <w:pPr>
                                            <w:pStyle w:val="NormalWeb"/>
                                            <w:rPr>
                                              <w:rFonts w:ascii="Atkinson Hyperlegible" w:hAnsi="Atkinson Hyperlegible"/>
                                              <w:sz w:val="30"/>
                                              <w:szCs w:val="30"/>
                                            </w:rPr>
                                          </w:pPr>
                                          <w:r>
                                            <w:rPr>
                                              <w:rFonts w:ascii="Atkinson Hyperlegible" w:hAnsi="Atkinson Hyperlegible"/>
                                              <w:sz w:val="27"/>
                                              <w:szCs w:val="27"/>
                                            </w:rPr>
                                            <w:t xml:space="preserve">Notre équipe du Job Coaching a réalisé un nouveau guide intitulé «Embaucher des collaborateurs malvoyants: une situation gagnant-gagnant». Le guide vise à montrer aux employeur-e-s comment réussir l'embauche de personnes aveugles et malvoyantes. Il fournit non seulement des conseils pour le processus de candidature, l’initiation au travail et la collaboration, mais présente également les offres d'aide et de soutien, et donne des exemples d'aménagement de postes de </w:t>
                                          </w:r>
                                          <w:r>
                                            <w:rPr>
                                              <w:rFonts w:ascii="Atkinson Hyperlegible" w:hAnsi="Atkinson Hyperlegible"/>
                                              <w:sz w:val="27"/>
                                              <w:szCs w:val="27"/>
                                            </w:rPr>
                                            <w:lastRenderedPageBreak/>
                                            <w:t>travail inclusifs. Plusieurs vidéos complètent la présentation. Le guide est disponible en allemand et en français.</w:t>
                                          </w:r>
                                        </w:p>
                                        <w:p w:rsidR="000556E9" w:rsidRDefault="000556E9">
                                          <w:pPr>
                                            <w:pStyle w:val="NormalWeb"/>
                                            <w:rPr>
                                              <w:rFonts w:ascii="Atkinson Hyperlegible" w:hAnsi="Atkinson Hyperlegible"/>
                                              <w:sz w:val="30"/>
                                              <w:szCs w:val="30"/>
                                            </w:rPr>
                                          </w:pPr>
                                          <w:r>
                                            <w:rPr>
                                              <w:rFonts w:ascii="Atkinson Hyperlegible" w:hAnsi="Atkinson Hyperlegible"/>
                                              <w:sz w:val="30"/>
                                              <w:szCs w:val="30"/>
                                            </w:rPr>
                                            <w:t> </w:t>
                                          </w:r>
                                        </w:p>
                                        <w:p w:rsidR="000556E9" w:rsidRDefault="000556E9">
                                          <w:pPr>
                                            <w:pStyle w:val="NormalWeb"/>
                                            <w:rPr>
                                              <w:rFonts w:ascii="Atkinson Hyperlegible" w:hAnsi="Atkinson Hyperlegible"/>
                                              <w:sz w:val="30"/>
                                              <w:szCs w:val="30"/>
                                            </w:rPr>
                                          </w:pPr>
                                          <w:hyperlink r:id="rId14" w:tgtFrame="_blank" w:tooltip="Lire l'article sur le site web" w:history="1">
                                            <w:r>
                                              <w:rPr>
                                                <w:rStyle w:val="Lienhypertexte"/>
                                                <w:rFonts w:ascii="Atkinson Hyperlegible" w:hAnsi="Atkinson Hyperlegible"/>
                                                <w:sz w:val="30"/>
                                                <w:szCs w:val="30"/>
                                              </w:rPr>
                                              <w:t>Vers l'article</w:t>
                                            </w:r>
                                          </w:hyperlink>
                                        </w:p>
                                      </w:tc>
                                    </w:tr>
                                    <w:tr w:rsidR="000556E9">
                                      <w:trPr>
                                        <w:trHeight w:val="180"/>
                                      </w:trPr>
                                      <w:tc>
                                        <w:tcPr>
                                          <w:tcW w:w="0" w:type="auto"/>
                                          <w:vAlign w:val="center"/>
                                          <w:hideMark/>
                                        </w:tcPr>
                                        <w:p w:rsidR="000556E9" w:rsidRDefault="000556E9">
                                          <w:pPr>
                                            <w:spacing w:line="225" w:lineRule="exact"/>
                                            <w:rPr>
                                              <w:rFonts w:eastAsia="Times New Roman"/>
                                              <w:sz w:val="23"/>
                                              <w:szCs w:val="23"/>
                                            </w:rPr>
                                          </w:pPr>
                                          <w:r>
                                            <w:rPr>
                                              <w:rFonts w:eastAsia="Times New Roman"/>
                                              <w:sz w:val="23"/>
                                              <w:szCs w:val="23"/>
                                            </w:rPr>
                                            <w:lastRenderedPageBreak/>
                                            <w:softHyphen/>
                                          </w: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jc w:val="center"/>
              <w:rPr>
                <w:rFonts w:eastAsia="Times New Roman"/>
                <w:color w:val="auto"/>
                <w:sz w:val="20"/>
                <w:szCs w:val="20"/>
              </w:rPr>
            </w:pPr>
          </w:p>
        </w:tc>
      </w:tr>
    </w:tbl>
    <w:p w:rsidR="000556E9" w:rsidRDefault="000556E9" w:rsidP="000556E9">
      <w:pPr>
        <w:rPr>
          <w:rFonts w:eastAsia="Times New Roman"/>
          <w:vanish/>
          <w:lang w:val="en-US"/>
        </w:rPr>
      </w:pPr>
    </w:p>
    <w:tbl>
      <w:tblPr>
        <w:tblW w:w="5000" w:type="pct"/>
        <w:jc w:val="center"/>
        <w:tblCellMar>
          <w:left w:w="0" w:type="dxa"/>
          <w:right w:w="0" w:type="dxa"/>
        </w:tblCellMar>
        <w:tblLook w:val="04A0"/>
      </w:tblPr>
      <w:tblGrid>
        <w:gridCol w:w="9072"/>
      </w:tblGrid>
      <w:tr w:rsidR="000556E9" w:rsidTr="000556E9">
        <w:trPr>
          <w:trHeight w:val="600"/>
          <w:jc w:val="center"/>
        </w:trPr>
        <w:tc>
          <w:tcPr>
            <w:tcW w:w="0" w:type="auto"/>
            <w:vAlign w:val="center"/>
            <w:hideMark/>
          </w:tcPr>
          <w:p w:rsidR="000556E9" w:rsidRDefault="000556E9">
            <w:pPr>
              <w:spacing w:line="750" w:lineRule="exact"/>
              <w:rPr>
                <w:rFonts w:eastAsia="Times New Roman"/>
                <w:sz w:val="75"/>
                <w:szCs w:val="75"/>
              </w:rPr>
            </w:pPr>
            <w:r>
              <w:rPr>
                <w:rFonts w:eastAsia="Times New Roman"/>
                <w:sz w:val="75"/>
                <w:szCs w:val="75"/>
              </w:rPr>
              <w:softHyphen/>
            </w:r>
          </w:p>
        </w:tc>
      </w:tr>
      <w:tr w:rsidR="000556E9" w:rsidTr="000556E9">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0556E9">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0556E9">
                    <w:tc>
                      <w:tcPr>
                        <w:tcW w:w="5000" w:type="pct"/>
                        <w:hideMark/>
                      </w:tcPr>
                      <w:tbl>
                        <w:tblPr>
                          <w:tblW w:w="5000" w:type="pct"/>
                          <w:tblCellMar>
                            <w:left w:w="0" w:type="dxa"/>
                            <w:right w:w="0" w:type="dxa"/>
                          </w:tblCellMar>
                          <w:tblLook w:val="04A0"/>
                        </w:tblPr>
                        <w:tblGrid>
                          <w:gridCol w:w="9000"/>
                        </w:tblGrid>
                        <w:tr w:rsidR="000556E9">
                          <w:tc>
                            <w:tcPr>
                              <w:tcW w:w="0" w:type="auto"/>
                              <w:hideMark/>
                            </w:tcPr>
                            <w:tbl>
                              <w:tblPr>
                                <w:tblW w:w="5000" w:type="pct"/>
                                <w:tblCellMar>
                                  <w:left w:w="0" w:type="dxa"/>
                                  <w:right w:w="0" w:type="dxa"/>
                                </w:tblCellMar>
                                <w:tblLook w:val="04A0"/>
                              </w:tblPr>
                              <w:tblGrid>
                                <w:gridCol w:w="9000"/>
                              </w:tblGrid>
                              <w:tr w:rsidR="000556E9">
                                <w:tc>
                                  <w:tcPr>
                                    <w:tcW w:w="0" w:type="auto"/>
                                    <w:vAlign w:val="center"/>
                                    <w:hideMark/>
                                  </w:tcPr>
                                  <w:tbl>
                                    <w:tblPr>
                                      <w:tblW w:w="2250" w:type="dxa"/>
                                      <w:tblCellMar>
                                        <w:left w:w="0" w:type="dxa"/>
                                        <w:right w:w="0" w:type="dxa"/>
                                      </w:tblCellMar>
                                      <w:tblLook w:val="04A0"/>
                                    </w:tblPr>
                                    <w:tblGrid>
                                      <w:gridCol w:w="2286"/>
                                    </w:tblGrid>
                                    <w:tr w:rsidR="000556E9">
                                      <w:tc>
                                        <w:tcPr>
                                          <w:tcW w:w="0" w:type="auto"/>
                                          <w:vAlign w:val="center"/>
                                          <w:hideMark/>
                                        </w:tcPr>
                                        <w:p w:rsidR="000556E9" w:rsidRDefault="000556E9">
                                          <w:pPr>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432560" cy="388620"/>
                                                <wp:effectExtent l="19050" t="0" r="0" b="0"/>
                                                <wp:docPr id="5" name="Image 5" descr="Logo des Schweizerischen Blinden- und Sehbehindertenverbands">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s Schweizerischen Blinden- und Sehbehindertenverbands"/>
                                                        <pic:cNvPicPr>
                                                          <a:picLocks noChangeAspect="1" noChangeArrowheads="1"/>
                                                        </pic:cNvPicPr>
                                                      </pic:nvPicPr>
                                                      <pic:blipFill>
                                                        <a:blip r:embed="rId5"/>
                                                        <a:srcRect/>
                                                        <a:stretch>
                                                          <a:fillRect/>
                                                        </a:stretch>
                                                      </pic:blipFill>
                                                      <pic:spPr bwMode="auto">
                                                        <a:xfrm>
                                                          <a:off x="0" y="0"/>
                                                          <a:ext cx="1432560" cy="388620"/>
                                                        </a:xfrm>
                                                        <a:prstGeom prst="rect">
                                                          <a:avLst/>
                                                        </a:prstGeom>
                                                        <a:noFill/>
                                                        <a:ln w="9525">
                                                          <a:noFill/>
                                                          <a:miter lim="800000"/>
                                                          <a:headEnd/>
                                                          <a:tailEnd/>
                                                        </a:ln>
                                                      </pic:spPr>
                                                    </pic:pic>
                                                  </a:graphicData>
                                                </a:graphic>
                                              </wp:inline>
                                            </w:drawing>
                                          </w:r>
                                        </w:p>
                                      </w:tc>
                                    </w:tr>
                                  </w:tbl>
                                  <w:p w:rsidR="000556E9" w:rsidRDefault="000556E9">
                                    <w:pPr>
                                      <w:rPr>
                                        <w:rFonts w:eastAsia="Times New Roman"/>
                                        <w:color w:val="auto"/>
                                        <w:sz w:val="20"/>
                                        <w:szCs w:val="20"/>
                                      </w:rPr>
                                    </w:pPr>
                                  </w:p>
                                </w:tc>
                              </w:tr>
                              <w:tr w:rsidR="000556E9">
                                <w:tc>
                                  <w:tcPr>
                                    <w:tcW w:w="0" w:type="auto"/>
                                    <w:tcMar>
                                      <w:top w:w="225" w:type="dxa"/>
                                      <w:left w:w="0" w:type="dxa"/>
                                      <w:bottom w:w="0" w:type="dxa"/>
                                      <w:right w:w="0" w:type="dxa"/>
                                    </w:tcMar>
                                    <w:vAlign w:val="center"/>
                                    <w:hideMark/>
                                  </w:tcPr>
                                  <w:p w:rsidR="000556E9" w:rsidRDefault="000556E9">
                                    <w:pPr>
                                      <w:pStyle w:val="Titre4"/>
                                      <w:rPr>
                                        <w:rFonts w:ascii="Atkinson Hyperlegible" w:eastAsia="Times New Roman" w:hAnsi="Atkinson Hyperlegible"/>
                                        <w:sz w:val="33"/>
                                        <w:szCs w:val="33"/>
                                      </w:rPr>
                                    </w:pPr>
                                    <w:r>
                                      <w:rPr>
                                        <w:rFonts w:ascii="Atkinson Hyperlegible" w:eastAsia="Times New Roman" w:hAnsi="Atkinson Hyperlegible"/>
                                        <w:sz w:val="33"/>
                                        <w:szCs w:val="33"/>
                                      </w:rPr>
                                      <w:t>Fédération suisse des</w:t>
                                    </w:r>
                                  </w:p>
                                  <w:p w:rsidR="000556E9" w:rsidRDefault="000556E9">
                                    <w:pPr>
                                      <w:pStyle w:val="Titre4"/>
                                      <w:rPr>
                                        <w:rFonts w:ascii="Atkinson Hyperlegible" w:eastAsia="Times New Roman" w:hAnsi="Atkinson Hyperlegible"/>
                                        <w:sz w:val="33"/>
                                        <w:szCs w:val="33"/>
                                      </w:rPr>
                                    </w:pPr>
                                    <w:proofErr w:type="gramStart"/>
                                    <w:r>
                                      <w:rPr>
                                        <w:rFonts w:ascii="Atkinson Hyperlegible" w:eastAsia="Times New Roman" w:hAnsi="Atkinson Hyperlegible"/>
                                        <w:sz w:val="33"/>
                                        <w:szCs w:val="33"/>
                                      </w:rPr>
                                      <w:t>aveugles</w:t>
                                    </w:r>
                                    <w:proofErr w:type="gramEnd"/>
                                    <w:r>
                                      <w:rPr>
                                        <w:rFonts w:ascii="Atkinson Hyperlegible" w:eastAsia="Times New Roman" w:hAnsi="Atkinson Hyperlegible"/>
                                        <w:sz w:val="33"/>
                                        <w:szCs w:val="33"/>
                                      </w:rPr>
                                      <w:t xml:space="preserve"> et malvoyants </w:t>
                                    </w:r>
                                    <w:proofErr w:type="spellStart"/>
                                    <w:r>
                                      <w:rPr>
                                        <w:rFonts w:ascii="Atkinson Hyperlegible" w:eastAsia="Times New Roman" w:hAnsi="Atkinson Hyperlegible"/>
                                        <w:sz w:val="33"/>
                                        <w:szCs w:val="33"/>
                                      </w:rPr>
                                      <w:t>fsa</w:t>
                                    </w:r>
                                    <w:proofErr w:type="spellEnd"/>
                                  </w:p>
                                </w:tc>
                              </w:tr>
                              <w:tr w:rsidR="000556E9">
                                <w:tc>
                                  <w:tcPr>
                                    <w:tcW w:w="0" w:type="auto"/>
                                    <w:tcMar>
                                      <w:top w:w="225" w:type="dxa"/>
                                      <w:left w:w="0" w:type="dxa"/>
                                      <w:bottom w:w="225" w:type="dxa"/>
                                      <w:right w:w="0" w:type="dxa"/>
                                    </w:tcMar>
                                    <w:vAlign w:val="center"/>
                                    <w:hideMark/>
                                  </w:tcPr>
                                  <w:p w:rsidR="000556E9" w:rsidRDefault="000556E9">
                                    <w:pPr>
                                      <w:pStyle w:val="NormalWeb"/>
                                      <w:rPr>
                                        <w:rFonts w:ascii="Atkinson Hyperlegible" w:hAnsi="Atkinson Hyperlegible"/>
                                        <w:sz w:val="30"/>
                                        <w:szCs w:val="30"/>
                                      </w:rPr>
                                    </w:pPr>
                                    <w:proofErr w:type="spellStart"/>
                                    <w:r>
                                      <w:rPr>
                                        <w:rFonts w:ascii="Atkinson Hyperlegible" w:hAnsi="Atkinson Hyperlegible"/>
                                      </w:rPr>
                                      <w:t>Secréteriat</w:t>
                                    </w:r>
                                    <w:proofErr w:type="spellEnd"/>
                                    <w:r>
                                      <w:rPr>
                                        <w:rFonts w:ascii="Atkinson Hyperlegible" w:hAnsi="Atkinson Hyperlegible"/>
                                      </w:rPr>
                                      <w:t xml:space="preserve"> de direction, </w:t>
                                    </w:r>
                                    <w:proofErr w:type="spellStart"/>
                                    <w:r>
                                      <w:rPr>
                                        <w:rFonts w:ascii="Atkinson Hyperlegible" w:hAnsi="Atkinson Hyperlegible"/>
                                      </w:rPr>
                                      <w:t>Könizstrasse</w:t>
                                    </w:r>
                                    <w:proofErr w:type="spellEnd"/>
                                    <w:r>
                                      <w:rPr>
                                        <w:rFonts w:ascii="Atkinson Hyperlegible" w:hAnsi="Atkinson Hyperlegible"/>
                                      </w:rPr>
                                      <w:t xml:space="preserve"> 23, Case postale, 3001 Berne</w:t>
                                    </w:r>
                                    <w:r>
                                      <w:rPr>
                                        <w:rFonts w:ascii="Atkinson Hyperlegible" w:hAnsi="Atkinson Hyperlegible"/>
                                        <w:sz w:val="30"/>
                                        <w:szCs w:val="30"/>
                                      </w:rPr>
                                      <w:br/>
                                    </w:r>
                                    <w:r>
                                      <w:rPr>
                                        <w:rFonts w:ascii="Atkinson Hyperlegible" w:hAnsi="Atkinson Hyperlegible"/>
                                      </w:rPr>
                                      <w:t xml:space="preserve">Téléphone: 031 390 88 00 Courriel: </w:t>
                                    </w:r>
                                    <w:hyperlink r:id="rId16" w:tgtFrame="_blank" w:tooltip="info@sbv-fsa.ch" w:history="1">
                                      <w:r>
                                        <w:rPr>
                                          <w:rStyle w:val="Lienhypertexte"/>
                                          <w:rFonts w:ascii="Atkinson Hyperlegible" w:hAnsi="Atkinson Hyperlegible"/>
                                        </w:rPr>
                                        <w:t>info@sbv-fsa.ch</w:t>
                                      </w:r>
                                    </w:hyperlink>
                                  </w:p>
                                </w:tc>
                              </w:tr>
                              <w:tr w:rsidR="000556E9">
                                <w:tc>
                                  <w:tcPr>
                                    <w:tcW w:w="0" w:type="auto"/>
                                    <w:vAlign w:val="center"/>
                                    <w:hideMark/>
                                  </w:tcPr>
                                  <w:tbl>
                                    <w:tblPr>
                                      <w:tblW w:w="750" w:type="dxa"/>
                                      <w:tblCellMar>
                                        <w:left w:w="0" w:type="dxa"/>
                                        <w:right w:w="0" w:type="dxa"/>
                                      </w:tblCellMar>
                                      <w:tblLook w:val="04A0"/>
                                    </w:tblPr>
                                    <w:tblGrid>
                                      <w:gridCol w:w="786"/>
                                    </w:tblGrid>
                                    <w:tr w:rsidR="000556E9">
                                      <w:tc>
                                        <w:tcPr>
                                          <w:tcW w:w="0" w:type="auto"/>
                                          <w:vAlign w:val="center"/>
                                          <w:hideMark/>
                                        </w:tcPr>
                                        <w:p w:rsidR="000556E9" w:rsidRDefault="000556E9">
                                          <w:pPr>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480060" cy="502920"/>
                                                <wp:effectExtent l="19050" t="0" r="0" b="0"/>
                                                <wp:docPr id="6" name="Image 6" descr="Logo Zewo Güte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Zewo Gütesiegel"/>
                                                        <pic:cNvPicPr>
                                                          <a:picLocks noChangeAspect="1" noChangeArrowheads="1"/>
                                                        </pic:cNvPicPr>
                                                      </pic:nvPicPr>
                                                      <pic:blipFill>
                                                        <a:blip r:embed="rId17" cstate="print"/>
                                                        <a:srcRect/>
                                                        <a:stretch>
                                                          <a:fillRect/>
                                                        </a:stretch>
                                                      </pic:blipFill>
                                                      <pic:spPr bwMode="auto">
                                                        <a:xfrm>
                                                          <a:off x="0" y="0"/>
                                                          <a:ext cx="480060" cy="502920"/>
                                                        </a:xfrm>
                                                        <a:prstGeom prst="rect">
                                                          <a:avLst/>
                                                        </a:prstGeom>
                                                        <a:noFill/>
                                                        <a:ln w="9525">
                                                          <a:noFill/>
                                                          <a:miter lim="800000"/>
                                                          <a:headEnd/>
                                                          <a:tailEnd/>
                                                        </a:ln>
                                                      </pic:spPr>
                                                    </pic:pic>
                                                  </a:graphicData>
                                                </a:graphic>
                                              </wp:inline>
                                            </w:drawing>
                                          </w:r>
                                        </w:p>
                                      </w:tc>
                                    </w:tr>
                                  </w:tbl>
                                  <w:p w:rsidR="000556E9" w:rsidRDefault="000556E9">
                                    <w:pPr>
                                      <w:rPr>
                                        <w:rFonts w:eastAsia="Times New Roman"/>
                                        <w:color w:val="auto"/>
                                        <w:sz w:val="20"/>
                                        <w:szCs w:val="20"/>
                                      </w:rPr>
                                    </w:pPr>
                                  </w:p>
                                </w:tc>
                              </w:tr>
                              <w:tr w:rsidR="000556E9">
                                <w:tc>
                                  <w:tcPr>
                                    <w:tcW w:w="0" w:type="auto"/>
                                    <w:vAlign w:val="center"/>
                                    <w:hideMark/>
                                  </w:tcPr>
                                  <w:p w:rsidR="000556E9" w:rsidRDefault="000556E9">
                                    <w:pPr>
                                      <w:pStyle w:val="NormalWeb"/>
                                      <w:rPr>
                                        <w:rFonts w:ascii="Atkinson Hyperlegible" w:hAnsi="Atkinson Hyperlegible"/>
                                        <w:sz w:val="30"/>
                                        <w:szCs w:val="30"/>
                                      </w:rPr>
                                    </w:pPr>
                                    <w:r>
                                      <w:rPr>
                                        <w:rFonts w:ascii="Atkinson Hyperlegible" w:hAnsi="Atkinson Hyperlegible"/>
                                      </w:rPr>
                                      <w:t xml:space="preserve">La </w:t>
                                    </w:r>
                                    <w:proofErr w:type="spellStart"/>
                                    <w:r>
                                      <w:rPr>
                                        <w:rFonts w:ascii="Atkinson Hyperlegible" w:hAnsi="Atkinson Hyperlegible"/>
                                      </w:rPr>
                                      <w:t>fsa</w:t>
                                    </w:r>
                                    <w:proofErr w:type="spellEnd"/>
                                    <w:r>
                                      <w:rPr>
                                        <w:rFonts w:ascii="Atkinson Hyperlegible" w:hAnsi="Atkinson Hyperlegible"/>
                                      </w:rPr>
                                      <w:t xml:space="preserve"> est certifiée par le label de qualité de </w:t>
                                    </w:r>
                                    <w:proofErr w:type="spellStart"/>
                                    <w:r>
                                      <w:rPr>
                                        <w:rFonts w:ascii="Atkinson Hyperlegible" w:hAnsi="Atkinson Hyperlegible"/>
                                      </w:rPr>
                                      <w:t>Zewo</w:t>
                                    </w:r>
                                    <w:proofErr w:type="spellEnd"/>
                                    <w:r>
                                      <w:rPr>
                                        <w:rFonts w:ascii="Atkinson Hyperlegible" w:hAnsi="Atkinson Hyperlegible"/>
                                      </w:rPr>
                                      <w:t>.</w:t>
                                    </w:r>
                                  </w:p>
                                </w:tc>
                              </w:tr>
                              <w:tr w:rsidR="000556E9">
                                <w:tc>
                                  <w:tcPr>
                                    <w:tcW w:w="0" w:type="auto"/>
                                    <w:tcMar>
                                      <w:top w:w="300" w:type="dxa"/>
                                      <w:left w:w="0" w:type="dxa"/>
                                      <w:bottom w:w="300" w:type="dxa"/>
                                      <w:right w:w="0" w:type="dxa"/>
                                    </w:tcMar>
                                    <w:vAlign w:val="center"/>
                                    <w:hideMark/>
                                  </w:tcPr>
                                  <w:tbl>
                                    <w:tblPr>
                                      <w:tblW w:w="5000" w:type="pct"/>
                                      <w:jc w:val="center"/>
                                      <w:tblBorders>
                                        <w:top w:val="single" w:sz="12" w:space="0" w:color="000000"/>
                                      </w:tblBorders>
                                      <w:tblCellMar>
                                        <w:left w:w="0" w:type="dxa"/>
                                        <w:right w:w="0" w:type="dxa"/>
                                      </w:tblCellMar>
                                      <w:tblLook w:val="04A0"/>
                                    </w:tblPr>
                                    <w:tblGrid>
                                      <w:gridCol w:w="9000"/>
                                    </w:tblGrid>
                                    <w:tr w:rsidR="000556E9">
                                      <w:trPr>
                                        <w:jc w:val="center"/>
                                      </w:trPr>
                                      <w:tc>
                                        <w:tcPr>
                                          <w:tcW w:w="0" w:type="auto"/>
                                          <w:tcBorders>
                                            <w:top w:val="single" w:sz="12" w:space="0" w:color="000000"/>
                                            <w:left w:val="nil"/>
                                            <w:bottom w:val="nil"/>
                                            <w:right w:val="nil"/>
                                          </w:tcBorders>
                                          <w:vAlign w:val="center"/>
                                          <w:hideMark/>
                                        </w:tcPr>
                                        <w:p w:rsidR="000556E9" w:rsidRDefault="000556E9">
                                          <w:pPr>
                                            <w:spacing w:line="0" w:lineRule="atLeast"/>
                                            <w:rPr>
                                              <w:rFonts w:eastAsia="Times New Roman"/>
                                              <w:sz w:val="2"/>
                                              <w:szCs w:val="2"/>
                                            </w:rPr>
                                          </w:pPr>
                                        </w:p>
                                      </w:tc>
                                    </w:tr>
                                  </w:tbl>
                                  <w:p w:rsidR="000556E9" w:rsidRDefault="000556E9">
                                    <w:pPr>
                                      <w:jc w:val="cente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rPr>
                      <w:rFonts w:eastAsia="Times New Roman"/>
                      <w:color w:val="auto"/>
                      <w:sz w:val="20"/>
                      <w:szCs w:val="20"/>
                    </w:rPr>
                  </w:pPr>
                </w:p>
              </w:tc>
            </w:tr>
          </w:tbl>
          <w:p w:rsidR="000556E9" w:rsidRDefault="000556E9">
            <w:pPr>
              <w:jc w:val="center"/>
              <w:rPr>
                <w:rFonts w:eastAsia="Times New Roman"/>
                <w:color w:val="auto"/>
                <w:sz w:val="20"/>
                <w:szCs w:val="20"/>
              </w:rPr>
            </w:pPr>
          </w:p>
        </w:tc>
      </w:tr>
    </w:tbl>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56E9"/>
    <w:rsid w:val="000556E9"/>
    <w:rsid w:val="0017744C"/>
    <w:rsid w:val="002B3262"/>
    <w:rsid w:val="00687751"/>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E9"/>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0556E9"/>
    <w:pPr>
      <w:outlineLvl w:val="0"/>
    </w:pPr>
    <w:rPr>
      <w:kern w:val="36"/>
      <w:sz w:val="48"/>
      <w:szCs w:val="48"/>
    </w:rPr>
  </w:style>
  <w:style w:type="paragraph" w:styleId="Titre2">
    <w:name w:val="heading 2"/>
    <w:basedOn w:val="Normal"/>
    <w:link w:val="Titre2Car"/>
    <w:uiPriority w:val="9"/>
    <w:unhideWhenUsed/>
    <w:qFormat/>
    <w:rsid w:val="000556E9"/>
    <w:pPr>
      <w:outlineLvl w:val="1"/>
    </w:pPr>
    <w:rPr>
      <w:sz w:val="36"/>
      <w:szCs w:val="36"/>
    </w:rPr>
  </w:style>
  <w:style w:type="paragraph" w:styleId="Titre4">
    <w:name w:val="heading 4"/>
    <w:basedOn w:val="Normal"/>
    <w:link w:val="Titre4Car"/>
    <w:uiPriority w:val="9"/>
    <w:unhideWhenUsed/>
    <w:qFormat/>
    <w:rsid w:val="000556E9"/>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56E9"/>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rsid w:val="000556E9"/>
    <w:rPr>
      <w:rFonts w:ascii="Times New Roman" w:hAnsi="Times New Roman" w:cs="Times New Roman"/>
      <w:color w:val="000000"/>
      <w:sz w:val="36"/>
      <w:szCs w:val="36"/>
      <w:lang w:eastAsia="fr-FR"/>
    </w:rPr>
  </w:style>
  <w:style w:type="character" w:customStyle="1" w:styleId="Titre4Car">
    <w:name w:val="Titre 4 Car"/>
    <w:basedOn w:val="Policepardfaut"/>
    <w:link w:val="Titre4"/>
    <w:uiPriority w:val="9"/>
    <w:rsid w:val="000556E9"/>
    <w:rPr>
      <w:rFonts w:ascii="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0556E9"/>
    <w:rPr>
      <w:color w:val="000000"/>
      <w:u w:val="single"/>
    </w:rPr>
  </w:style>
  <w:style w:type="paragraph" w:styleId="NormalWeb">
    <w:name w:val="Normal (Web)"/>
    <w:basedOn w:val="Normal"/>
    <w:uiPriority w:val="99"/>
    <w:unhideWhenUsed/>
    <w:rsid w:val="000556E9"/>
  </w:style>
  <w:style w:type="paragraph" w:styleId="Textedebulles">
    <w:name w:val="Balloon Text"/>
    <w:basedOn w:val="Normal"/>
    <w:link w:val="TextedebullesCar"/>
    <w:uiPriority w:val="99"/>
    <w:semiHidden/>
    <w:unhideWhenUsed/>
    <w:rsid w:val="000556E9"/>
    <w:rPr>
      <w:rFonts w:ascii="Tahoma" w:hAnsi="Tahoma" w:cs="Tahoma"/>
      <w:sz w:val="16"/>
      <w:szCs w:val="16"/>
    </w:rPr>
  </w:style>
  <w:style w:type="character" w:customStyle="1" w:styleId="TextedebullesCar">
    <w:name w:val="Texte de bulles Car"/>
    <w:basedOn w:val="Policepardfaut"/>
    <w:link w:val="Textedebulles"/>
    <w:uiPriority w:val="99"/>
    <w:semiHidden/>
    <w:rsid w:val="000556E9"/>
    <w:rPr>
      <w:rFonts w:ascii="Tahoma"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divs>
    <w:div w:id="19815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hg9q.r.sp1-brevo.net/mk/cl/f/sh/SMK1E8tHeGSV5WdotMN2iDX4l2oh/RG8xnqvlauI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hg9q.r.sp1-brevo.net/mk/cl/f/sh/SMK1E8tHeG13GxM0Ahl6KuK6rqTf/NcOE931FkdCN"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mailto:info@sbv-fsa.ch?subject=Anfrag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hg9q.r.sp1-brevo.net/mk/cl/f/sh/SMK1E8tHeGLddNoriCDYcOEKmkER/mm9ey3pKbnvY" TargetMode="External"/><Relationship Id="rId5" Type="http://schemas.openxmlformats.org/officeDocument/2006/relationships/image" Target="media/image1.png"/><Relationship Id="rId15" Type="http://schemas.openxmlformats.org/officeDocument/2006/relationships/hyperlink" Target="https://dhg9q.r.sp1-brevo.net/mk/cl/f/sh/SMK1E8tHeGgDzoHjFgg0ts8YhdzD/gFnWEghNBnqr" TargetMode="External"/><Relationship Id="rId10" Type="http://schemas.openxmlformats.org/officeDocument/2006/relationships/hyperlink" Target="https://dhg9q.r.sp1-brevo.net/mk/cl/f/sh/SMK1E8tHeGEmBEzuX244WYvaoReB/GCRariNp4Rvb" TargetMode="External"/><Relationship Id="rId19" Type="http://schemas.openxmlformats.org/officeDocument/2006/relationships/theme" Target="theme/theme1.xml"/><Relationship Id="rId4" Type="http://schemas.openxmlformats.org/officeDocument/2006/relationships/hyperlink" Target="https://dhg9q.r.sp1-brevo.net/mk/cl/f/sh/SMK1E8tHeFuBooX2zXbcF51MtXtP/gN4hwl_qrc55" TargetMode="External"/><Relationship Id="rId9" Type="http://schemas.openxmlformats.org/officeDocument/2006/relationships/hyperlink" Target="https://dhg9q.r.sp1-brevo.net/mk/cl/f/sh/SMK1E8tHeG7uj6AxLruaQjcqq93v/B-V249k4DV1C" TargetMode="External"/><Relationship Id="rId14" Type="http://schemas.openxmlformats.org/officeDocument/2006/relationships/hyperlink" Target="https://dhg9q.r.sp1-brevo.net/mk/cl/f/sh/SMK1E8tHeGZMXfSm4WWWo2pojLOx/nip3V2d3QG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890</Words>
  <Characters>4901</Characters>
  <Application>Microsoft Office Word</Application>
  <DocSecurity>0</DocSecurity>
  <Lines>40</Lines>
  <Paragraphs>11</Paragraphs>
  <ScaleCrop>false</ScaleCrop>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2025-11-07T18:54:00Z</dcterms:created>
  <dcterms:modified xsi:type="dcterms:W3CDTF">2025-11-07T18:58:00Z</dcterms:modified>
</cp:coreProperties>
</file>