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BE177A" w:rsidTr="00BE17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E177A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bottom w:w="75" w:type="dxa"/>
                      <w:right w:w="0" w:type="dxa"/>
                    </w:tblCellMar>
                    <w:tblLook w:val="04A0"/>
                  </w:tblPr>
                  <w:tblGrid>
                    <w:gridCol w:w="5700"/>
                    <w:gridCol w:w="33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p w:rsidR="00BE177A" w:rsidRDefault="00BE177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fldChar w:fldCharType="begin"/>
                        </w:r>
                        <w:r>
                          <w:rPr>
                            <w:rFonts w:eastAsia="Times New Roman"/>
                          </w:rPr>
                          <w:instrText xml:space="preserve"> HYPERLINK "https://sbv-fsa.ch/fr/newsletter/newsletter-fsa-octobre-2021" </w:instrText>
                        </w:r>
                        <w:r>
                          <w:rPr>
                            <w:rFonts w:eastAsia="Times New Roman"/>
                          </w:rPr>
                          <w:fldChar w:fldCharType="separate"/>
                        </w:r>
                        <w:r>
                          <w:rPr>
                            <w:rStyle w:val="Lienhypertexte"/>
                            <w:rFonts w:eastAsia="Times New Roman"/>
                            <w:color w:val="000000"/>
                          </w:rPr>
                          <w:t xml:space="preserve">Consultez </w:t>
                        </w:r>
                        <w:proofErr w:type="gramStart"/>
                        <w:r>
                          <w:rPr>
                            <w:rStyle w:val="Lienhypertexte"/>
                            <w:rFonts w:eastAsia="Times New Roman"/>
                            <w:color w:val="000000"/>
                          </w:rPr>
                          <w:t>le</w:t>
                        </w:r>
                        <w:proofErr w:type="gramEnd"/>
                        <w:r>
                          <w:rPr>
                            <w:rStyle w:val="Lienhypertexte"/>
                            <w:rFonts w:eastAsia="Times New Roman"/>
                            <w:color w:val="000000"/>
                          </w:rPr>
                          <w:t xml:space="preserve"> newsletter dans votre navigateur</w:t>
                        </w:r>
                        <w:r>
                          <w:rPr>
                            <w:rFonts w:eastAsia="Times New Roman"/>
                          </w:rPr>
                          <w:fldChar w:fldCharType="end"/>
                        </w:r>
                      </w:p>
                    </w:tc>
                  </w:tr>
                  <w:tr w:rsidR="00BE177A">
                    <w:trPr>
                      <w:gridAfter w:val="1"/>
                      <w:wAfter w:w="8520" w:type="dxa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018A8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pPr w:leftFromText="36" w:rightFromText="36" w:vertAnchor="text"/>
                          <w:tblW w:w="5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378710" cy="1169035"/>
                                    <wp:effectExtent l="19050" t="0" r="2540" b="0"/>
                                    <wp:docPr id="1" name="Image 1" descr="Logo SBV-FSA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 SBV-FS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8710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2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1"/>
                                <w:jc w:val="center"/>
                                <w:rPr>
                                  <w:rFonts w:eastAsia="Times New Roman"/>
                                  <w:color w:val="FFFFFF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/>
                                  <w:sz w:val="51"/>
                                  <w:szCs w:val="51"/>
                                </w:rPr>
                                <w:t>Newsletter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Chers Membre</w:t>
                  </w:r>
                  <w:r w:rsidR="00E13966">
                    <w:rPr>
                      <w:rFonts w:eastAsia="Times New Roman"/>
                    </w:rPr>
                    <w:t>s</w:t>
                  </w:r>
                </w:p>
                <w:p w:rsidR="00BE177A" w:rsidRDefault="00BE177A">
                  <w:pPr>
                    <w:pStyle w:val="NormalWeb"/>
                  </w:pPr>
                  <w:r>
                    <w:t>Beaucoup de passionnés de voyage ont profité des vacances d’automne pour se rendre à l’étranger. Parmi eux aussi de nombreuses personnes handicapées de la vue. En préparant leur retour en Suisse, celles-ci se sont heurtées à des obstacles inattendus, puisque le formulaire obligatoire d’entrée de l’</w:t>
                  </w:r>
                  <w:proofErr w:type="spellStart"/>
                  <w:r>
                    <w:t>OFSP</w:t>
                  </w:r>
                  <w:proofErr w:type="spellEnd"/>
                  <w:r>
                    <w:t xml:space="preserve"> n’est pas accessible aux malvoyants et ne peut donc pas être rempli sans l’aide d’autrui. Voilà qui est inacceptable, estime la FSA, qui est aussitôt intervenue auprès de l’Office fédéral.</w:t>
                  </w:r>
                </w:p>
                <w:p w:rsidR="00BE177A" w:rsidRDefault="00BE177A">
                  <w:pPr>
                    <w:pStyle w:val="NormalWeb"/>
                  </w:pPr>
                  <w:r>
                    <w:t xml:space="preserve">Les barrières à l’accessibilité ne sont pourtant pas une fatalité, comme en témoigne la série de vidéos «Histoire de réussite professionnelle de personnes en situation de handicap visuel» que la FSA a réalisée conjointement avec la Fondation de l’Asile des Aveugles. Cinq personnes exerçant différents métiers y donnent un aperçu de leur quotidien professionnel. Autre exemple positif, celui du spectacle de son et lumière «Rendez-vous </w:t>
                  </w:r>
                  <w:proofErr w:type="spellStart"/>
                  <w:r>
                    <w:t>Bundesplatz</w:t>
                  </w:r>
                  <w:proofErr w:type="spellEnd"/>
                  <w:r>
                    <w:t xml:space="preserve">» qui sera à nouveau proposé avec </w:t>
                  </w:r>
                  <w:proofErr w:type="spellStart"/>
                  <w:r>
                    <w:t>audiodescription</w:t>
                  </w:r>
                  <w:proofErr w:type="spellEnd"/>
                  <w:r>
                    <w:t>.</w:t>
                  </w:r>
                </w:p>
                <w:p w:rsidR="00BE177A" w:rsidRDefault="00BE177A">
                  <w:pPr>
                    <w:pStyle w:val="NormalWeb"/>
                  </w:pPr>
                  <w:r>
                    <w:t>Cordialement</w:t>
                  </w:r>
                  <w:r>
                    <w:br/>
                    <w:t>L’équipe de rédaction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shd w:val="clear" w:color="auto" w:fill="0018A8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18A8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2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Amtliches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Covid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Einreiseformular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nicht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barrierefrei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zugänglich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c>
                            <w:tcPr>
                              <w:tcW w:w="5000" w:type="pct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Das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amtlich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vorgeschriebene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Einreiseformular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das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seit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dem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20.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September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allen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in die Schweiz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einreisenden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Personen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ausgefüllt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vorgewiesen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werden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muss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nicht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barrierefrei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zugänglich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.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SBV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Interessenvertretung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hat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beim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BAG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interveniert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</w:t>
                              </w:r>
                            </w:p>
                            <w:p w:rsidR="00BE177A" w:rsidRDefault="00BE17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hyperlink r:id="rId7" w:tooltip="Amtliches Covid-Einreiseformular nicht barrierefrei zugänglich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eastAsia="Times New Roman"/>
                                  </w:rPr>
                                  <w:t>Weiterlesen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über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Amtliches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Covid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Einreiseformular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nicht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barrierefrei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zugänglich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34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4"/>
                        </w:tblGrid>
                        <w:tr w:rsidR="00BE177A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193290" cy="1226820"/>
                                    <wp:effectExtent l="19050" t="0" r="0" b="0"/>
                                    <wp:docPr id="2" name="Image 2" descr="Einreiseformular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Einreiseformula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329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shd w:val="clear" w:color="auto" w:fill="0018A8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18A8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2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QR-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Rechnungen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erleichtern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Zahlungen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c>
                            <w:tcPr>
                              <w:tcW w:w="5000" w:type="pct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Ende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September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2022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lösen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QR-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Rechnungen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herkömmlichen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Einzahlungsscheine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ab. In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diesen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Rechnungen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Code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integriert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der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Menschen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mit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Sehbehinderung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Abwicklung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ihrer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>Zahlungen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erleichtert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Was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das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konkret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bedeutet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welche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Vorbereitungen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nötig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sind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lesen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Sie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diesem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Beitrag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</w:t>
                              </w:r>
                            </w:p>
                            <w:p w:rsidR="00BE177A" w:rsidRDefault="00BE177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hyperlink r:id="rId9" w:tooltip="QR-Rechnungen erleichtern Zahlungen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eastAsia="Times New Roman"/>
                                  </w:rPr>
                                  <w:t>Weiterlesen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über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QR-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Rechnungen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erleichtern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Zahlungen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34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4"/>
                        </w:tblGrid>
                        <w:tr w:rsidR="00BE177A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193290" cy="1250315"/>
                                    <wp:effectExtent l="19050" t="0" r="0" b="0"/>
                                    <wp:docPr id="3" name="Image 3" descr="QR-Rechnun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QR-Rechnu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3290" cy="12503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shd w:val="clear" w:color="auto" w:fill="0018A8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18A8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2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Berufliche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Erfolgsstorys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von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Menschen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mit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Sehbehinderung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c>
                            <w:tcPr>
                              <w:tcW w:w="5000" w:type="pct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Der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SBV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die Fondation de l’Asile des Aveugles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zeigen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5-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teiligen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Video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Serie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den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Arbeitsalltag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Menschen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mit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Sehbehinderung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Entstanden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sind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Porträts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Menschen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erfolgreich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Berufsleben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stehen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</w:t>
                              </w:r>
                            </w:p>
                            <w:p w:rsidR="00BE177A" w:rsidRDefault="00BE177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hyperlink r:id="rId11" w:tooltip="Berufliche Erfolgsstorys von Menschen mit einer Sehbehinderung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eastAsia="Times New Roman"/>
                                  </w:rPr>
                                  <w:t>Weiterlesen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über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Berufliche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Erfolgsstorys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von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Menschen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mit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einer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Sehbehinderung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34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4"/>
                        </w:tblGrid>
                        <w:tr w:rsidR="00BE177A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193290" cy="1238250"/>
                                    <wp:effectExtent l="19050" t="0" r="0" b="0"/>
                                    <wp:docPr id="4" name="Image 4" descr="Abbildung der Protagonisten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bbildung der Protagoniste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3290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shd w:val="clear" w:color="auto" w:fill="0018A8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18A8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2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Lichtspektakel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«Rendez-vous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Bundesplatz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» mit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Audiodeskription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c>
                            <w:tcPr>
                              <w:tcW w:w="5000" w:type="pct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elfte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Ausgabe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Lichtspektakels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«Rendez-vous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Bundesplatz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»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für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blinde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sehbehinderte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Besucherinnen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Besucher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erlebbar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Möglich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dies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akustische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Beschriebe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mittels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App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parallel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zur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Aufführung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gehört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werden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können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</w:t>
                              </w:r>
                            </w:p>
                            <w:p w:rsidR="00BE177A" w:rsidRDefault="00BE177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hyperlink r:id="rId13" w:tooltip="Lichtspektakel «Rendez-vous Bundesplatz» mit Audiodeskription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eastAsia="Times New Roman"/>
                                  </w:rPr>
                                  <w:t>Weiterlesen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über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Lichtspektakel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«Rendez-vous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Bundesplatz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» mit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Audiodeskription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34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4"/>
                        </w:tblGrid>
                        <w:tr w:rsidR="00BE177A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193290" cy="1637665"/>
                                    <wp:effectExtent l="19050" t="0" r="0" b="0"/>
                                    <wp:docPr id="5" name="Image 5" descr="Foto Rende-vous Bundesplatz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Foto Rende-vous Bundesplat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3290" cy="1637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shd w:val="clear" w:color="auto" w:fill="0018A8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E17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18A8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pStyle w:val="Titre2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Kulturveranstaltungen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auf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SBV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>Website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177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E177A">
                          <w:tc>
                            <w:tcPr>
                              <w:tcW w:w="5000" w:type="pct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Der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SBV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hat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den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Veranstaltungskalender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auf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seiner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Website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überarbeitet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erweitert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Neu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können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auch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Kulturveranstaltungen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aller Art, die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für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blinde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sehbehinderte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Menschen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geeignet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sowie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zugänglich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sind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publiziert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separat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abgerufen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werden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</w:t>
                              </w:r>
                            </w:p>
                            <w:p w:rsidR="00BE177A" w:rsidRDefault="00BE177A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hyperlink r:id="rId15" w:tooltip="Kulturveranstaltungen auf der SBV-Website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eastAsia="Times New Roman"/>
                                  </w:rPr>
                                  <w:t>Weiterlesen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über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Kulturveranstaltungen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auf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 xml:space="preserve"> der 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SBV</w:t>
                                </w:r>
                                <w:proofErr w:type="spellEnd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Style w:val="visually-hidden"/>
                                    <w:rFonts w:eastAsia="Times New Roman"/>
                                    <w:color w:val="0000FF"/>
                                  </w:rPr>
                                  <w:t>Website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tbl>
                        <w:tblPr>
                          <w:tblpPr w:leftFromText="36" w:rightFromText="36" w:vertAnchor="text"/>
                          <w:tblW w:w="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BE177A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34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4"/>
                        </w:tblGrid>
                        <w:tr w:rsidR="00BE177A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E177A" w:rsidRDefault="00BE177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193290" cy="1446530"/>
                                    <wp:effectExtent l="19050" t="0" r="0" b="0"/>
                                    <wp:docPr id="6" name="Image 6" descr="Kinosaalbestuhlung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Kinosaalbestuhlu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3290" cy="1446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shd w:val="clear" w:color="auto" w:fill="0018A8"/>
                    <w:tblCellMar>
                      <w:top w:w="150" w:type="dxa"/>
                      <w:left w:w="225" w:type="dxa"/>
                      <w:bottom w:w="150" w:type="dxa"/>
                      <w:right w:w="225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18A8"/>
                        <w:vAlign w:val="center"/>
                        <w:hideMark/>
                      </w:tcPr>
                      <w:p w:rsidR="00BE177A" w:rsidRDefault="00BE177A">
                        <w:pPr>
                          <w:pStyle w:val="Titre2"/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Nouvelles des régions</w:t>
                        </w: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</w:rPr>
                  </w:pPr>
                  <w:hyperlink r:id="rId17" w:history="1">
                    <w:r>
                      <w:rPr>
                        <w:rStyle w:val="Lienhypertexte"/>
                        <w:rFonts w:eastAsia="Times New Roman"/>
                      </w:rPr>
                      <w:t xml:space="preserve">La ville de Bâle réaménage sa principale artère </w:t>
                    </w:r>
                    <w:proofErr w:type="spellStart"/>
                    <w:r>
                      <w:rPr>
                        <w:rStyle w:val="Lienhypertexte"/>
                        <w:rFonts w:eastAsia="Times New Roman"/>
                      </w:rPr>
                      <w:t>commer-çante</w:t>
                    </w:r>
                    <w:proofErr w:type="spellEnd"/>
                    <w:r>
                      <w:rPr>
                        <w:rStyle w:val="Lienhypertexte"/>
                        <w:rFonts w:eastAsia="Times New Roman"/>
                      </w:rPr>
                      <w:t xml:space="preserve"> et «oublie» les personnes </w:t>
                    </w:r>
                    <w:r>
                      <w:rPr>
                        <w:rStyle w:val="Lienhypertexte"/>
                        <w:rFonts w:eastAsia="Times New Roman"/>
                      </w:rPr>
                      <w:lastRenderedPageBreak/>
                      <w:t>handicapées de la vue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177A" w:rsidRDefault="00BE177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0018A8"/>
                    <w:tblCellMar>
                      <w:top w:w="150" w:type="dxa"/>
                      <w:left w:w="225" w:type="dxa"/>
                      <w:bottom w:w="150" w:type="dxa"/>
                      <w:right w:w="225" w:type="dxa"/>
                    </w:tblCellMar>
                    <w:tblLook w:val="04A0"/>
                  </w:tblPr>
                  <w:tblGrid>
                    <w:gridCol w:w="9000"/>
                  </w:tblGrid>
                  <w:tr w:rsidR="00BE177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18A8"/>
                        <w:vAlign w:val="center"/>
                        <w:hideMark/>
                      </w:tcPr>
                      <w:p w:rsidR="00BE177A" w:rsidRDefault="00BE177A">
                        <w:pPr>
                          <w:pStyle w:val="NormalWeb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La FSA est titulaire du label de qualité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Zewo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FFFFF"/>
                          </w:rPr>
                          <w:drawing>
                            <wp:inline distT="0" distB="0" distL="0" distR="0">
                              <wp:extent cx="474345" cy="503555"/>
                              <wp:effectExtent l="19050" t="0" r="1905" b="0"/>
                              <wp:docPr id="7" name="Image 7" descr="Zewo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Zewo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4345" cy="503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E177A" w:rsidRDefault="00BE177A">
                        <w:pPr>
                          <w:pStyle w:val="NormalWeb"/>
                          <w:rPr>
                            <w:color w:val="FFFFFF"/>
                            <w:sz w:val="19"/>
                            <w:szCs w:val="19"/>
                          </w:rPr>
                        </w:pPr>
                        <w:r>
                          <w:rPr>
                            <w:color w:val="FFFFFF"/>
                            <w:sz w:val="19"/>
                            <w:szCs w:val="19"/>
                          </w:rPr>
                          <w:t xml:space="preserve">Vous recevez cet e-mail car vous êtes inscrit à la newsletter de la FSA. Si vous ne le souhaitez plus, cliquez sur </w:t>
                        </w:r>
                        <w:hyperlink r:id="rId19" w:history="1">
                          <w:r>
                            <w:rPr>
                              <w:rStyle w:val="Lienhypertexte"/>
                              <w:color w:val="FFFFFF"/>
                              <w:sz w:val="19"/>
                              <w:szCs w:val="19"/>
                            </w:rPr>
                            <w:t>désabonner</w:t>
                          </w:r>
                        </w:hyperlink>
                        <w:r>
                          <w:rPr>
                            <w:color w:val="FFFFFF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BE177A" w:rsidRDefault="00BE17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E177A" w:rsidRDefault="00BE17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E177A" w:rsidRDefault="00BE177A" w:rsidP="00BE177A">
      <w:pPr>
        <w:rPr>
          <w:rFonts w:eastAsia="Times New Roman"/>
          <w:lang w:val="en-US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6D6"/>
    <w:multiLevelType w:val="multilevel"/>
    <w:tmpl w:val="ECC2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4728"/>
    <w:multiLevelType w:val="multilevel"/>
    <w:tmpl w:val="236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00F73"/>
    <w:multiLevelType w:val="multilevel"/>
    <w:tmpl w:val="CE0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9739E"/>
    <w:multiLevelType w:val="multilevel"/>
    <w:tmpl w:val="8174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16C4F"/>
    <w:multiLevelType w:val="multilevel"/>
    <w:tmpl w:val="E38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E177A"/>
    <w:rsid w:val="0017744C"/>
    <w:rsid w:val="00551A39"/>
    <w:rsid w:val="00687751"/>
    <w:rsid w:val="00BE177A"/>
    <w:rsid w:val="00DF5EF5"/>
    <w:rsid w:val="00E1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7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E1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unhideWhenUsed/>
    <w:qFormat/>
    <w:rsid w:val="00BE17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177A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177A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17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77A"/>
    <w:pPr>
      <w:spacing w:before="100" w:beforeAutospacing="1" w:after="100" w:afterAutospacing="1"/>
    </w:pPr>
  </w:style>
  <w:style w:type="character" w:customStyle="1" w:styleId="visually-hidden">
    <w:name w:val="visually-hidden"/>
    <w:basedOn w:val="Policepardfaut"/>
    <w:rsid w:val="00BE177A"/>
  </w:style>
  <w:style w:type="paragraph" w:styleId="Textedebulles">
    <w:name w:val="Balloon Text"/>
    <w:basedOn w:val="Normal"/>
    <w:link w:val="TextedebullesCar"/>
    <w:uiPriority w:val="99"/>
    <w:semiHidden/>
    <w:unhideWhenUsed/>
    <w:rsid w:val="00BE17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77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bv-fsa.ch/newsletter/lichtspektakel-rendez-vous-bundesplatz-mit-audiodeskription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bv-fsa.ch/newsletter/amtliches-covid-einreiseformular-nicht-barrierefrei-zugaenglich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bv-fsa.ch/node/7439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bv-fsa.ch/newsletter/berufliche-erfolgsstorys-von-menschen-mit-einer-sehbehinderung" TargetMode="External"/><Relationship Id="rId5" Type="http://schemas.openxmlformats.org/officeDocument/2006/relationships/hyperlink" Target="www.sbv-fsa.ch" TargetMode="External"/><Relationship Id="rId15" Type="http://schemas.openxmlformats.org/officeDocument/2006/relationships/hyperlink" Target="https://sbv-fsa.ch/newsletter/kulturveranstaltungen-auf-der-sbv-websit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bv-fsa.ch/newsletter/confirm/remove/9231/newsletter_fsa_fr/1635555601/fKFsgvwvodCBjxMHBMGeUOaxe1HRVPRvGxYkVnaAo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v-fsa.ch/newsletter/qr-rechnungen-erleichtern-zahlunge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dcterms:created xsi:type="dcterms:W3CDTF">2021-10-30T08:26:00Z</dcterms:created>
  <dcterms:modified xsi:type="dcterms:W3CDTF">2021-10-30T08:35:00Z</dcterms:modified>
</cp:coreProperties>
</file>