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bottom w:w="75" w:type="dxa"/>
          <w:right w:w="0" w:type="dxa"/>
        </w:tblCellMar>
        <w:tblLook w:val="04A0"/>
      </w:tblPr>
      <w:tblGrid>
        <w:gridCol w:w="5700"/>
        <w:gridCol w:w="3372"/>
      </w:tblGrid>
      <w:tr w:rsidR="00573D73" w:rsidRPr="00573D73" w:rsidTr="00573D73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573D73" w:rsidRPr="00573D73" w:rsidRDefault="00573D7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73D73">
              <w:rPr>
                <w:rFonts w:ascii="Arial" w:eastAsia="Times New Roman" w:hAnsi="Arial" w:cs="Arial"/>
                <w:sz w:val="28"/>
                <w:szCs w:val="28"/>
              </w:rPr>
              <w:fldChar w:fldCharType="begin"/>
            </w:r>
            <w:r w:rsidRPr="00573D73">
              <w:rPr>
                <w:rFonts w:ascii="Arial" w:eastAsia="Times New Roman" w:hAnsi="Arial" w:cs="Arial"/>
                <w:sz w:val="28"/>
                <w:szCs w:val="28"/>
              </w:rPr>
              <w:instrText xml:space="preserve"> HYPERLINK "https://sbv-fsa.ch/fr/newsletter/newsletter-fsa-du-31-aout-2021" </w:instrText>
            </w:r>
            <w:r w:rsidRPr="00573D73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573D73">
              <w:rPr>
                <w:rStyle w:val="Lienhypertexte"/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Consultez </w:t>
            </w:r>
            <w:proofErr w:type="gramStart"/>
            <w:r w:rsidRPr="00573D73">
              <w:rPr>
                <w:rStyle w:val="Lienhypertexte"/>
                <w:rFonts w:ascii="Arial" w:eastAsia="Times New Roman" w:hAnsi="Arial" w:cs="Arial"/>
                <w:color w:val="000000"/>
                <w:sz w:val="28"/>
                <w:szCs w:val="28"/>
              </w:rPr>
              <w:t>le</w:t>
            </w:r>
            <w:proofErr w:type="gramEnd"/>
            <w:r w:rsidRPr="00573D73">
              <w:rPr>
                <w:rStyle w:val="Lienhypertexte"/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newsletter dans votre navigateur</w:t>
            </w:r>
            <w:r w:rsidRPr="00573D73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</w:p>
        </w:tc>
      </w:tr>
      <w:tr w:rsidR="00573D73" w:rsidRPr="00573D73" w:rsidTr="00573D73">
        <w:trPr>
          <w:gridAfter w:val="1"/>
          <w:wAfter w:w="8520" w:type="dxa"/>
          <w:tblCellSpacing w:w="0" w:type="dxa"/>
          <w:jc w:val="center"/>
        </w:trPr>
        <w:tc>
          <w:tcPr>
            <w:tcW w:w="0" w:type="auto"/>
            <w:shd w:val="clear" w:color="auto" w:fill="0018A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tbl>
            <w:tblPr>
              <w:tblpPr w:leftFromText="36" w:rightFromText="36" w:vertAnchor="text"/>
              <w:tblW w:w="5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573D73" w:rsidRPr="00573D73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73D73" w:rsidRPr="00573D73" w:rsidRDefault="00573D7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573D73">
                    <w:rPr>
                      <w:rFonts w:ascii="Arial" w:eastAsia="Times New Roman" w:hAnsi="Arial" w:cs="Arial"/>
                      <w:noProof/>
                      <w:color w:val="0000FF"/>
                      <w:sz w:val="28"/>
                      <w:szCs w:val="28"/>
                    </w:rPr>
                    <w:drawing>
                      <wp:inline distT="0" distB="0" distL="0" distR="0">
                        <wp:extent cx="2378710" cy="1170305"/>
                        <wp:effectExtent l="19050" t="0" r="2540" b="0"/>
                        <wp:docPr id="1" name="Image 1" descr="Logo SBV-FSA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SBV-F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8710" cy="1170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D73" w:rsidRPr="00573D73" w:rsidRDefault="00573D73">
            <w:pPr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</w:p>
          <w:tbl>
            <w:tblPr>
              <w:tblpPr w:leftFromText="36" w:rightFromText="36" w:vertAnchor="text"/>
              <w:tblW w:w="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"/>
            </w:tblGrid>
            <w:tr w:rsidR="00573D73" w:rsidRPr="00573D73">
              <w:trPr>
                <w:trHeight w:val="24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73D73" w:rsidRPr="00573D73" w:rsidRDefault="00573D7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573D73" w:rsidRPr="00573D73" w:rsidRDefault="00573D73">
            <w:pPr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</w:p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7"/>
            </w:tblGrid>
            <w:tr w:rsidR="00573D73" w:rsidRPr="00573D73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73D73" w:rsidRPr="00573D73" w:rsidRDefault="00573D73">
                  <w:pPr>
                    <w:pStyle w:val="Titre1"/>
                    <w:jc w:val="center"/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</w:pPr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>Newsletter</w:t>
                  </w:r>
                </w:p>
              </w:tc>
            </w:tr>
          </w:tbl>
          <w:p w:rsidR="00573D73" w:rsidRPr="00573D73" w:rsidRDefault="00573D7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573D73" w:rsidRPr="00573D73" w:rsidRDefault="00573D73" w:rsidP="00573D73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573D73" w:rsidRPr="00573D73" w:rsidRDefault="00573D73" w:rsidP="00573D73">
      <w:pPr>
        <w:rPr>
          <w:rFonts w:ascii="Arial" w:eastAsia="Times New Roman" w:hAnsi="Arial" w:cs="Arial"/>
          <w:sz w:val="28"/>
          <w:szCs w:val="28"/>
          <w:lang w:val="en-US"/>
        </w:rPr>
      </w:pPr>
      <w:proofErr w:type="spellStart"/>
      <w:r w:rsidRPr="00573D73">
        <w:rPr>
          <w:rFonts w:ascii="Arial" w:eastAsia="Times New Roman" w:hAnsi="Arial" w:cs="Arial"/>
          <w:sz w:val="28"/>
          <w:szCs w:val="28"/>
          <w:lang w:val="en-US"/>
        </w:rPr>
        <w:t>Chers</w:t>
      </w:r>
      <w:proofErr w:type="spellEnd"/>
      <w:r w:rsidRPr="00573D7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eastAsia="Times New Roman" w:hAnsi="Arial" w:cs="Arial"/>
          <w:sz w:val="28"/>
          <w:szCs w:val="28"/>
          <w:lang w:val="en-US"/>
        </w:rPr>
        <w:t>Membres</w:t>
      </w:r>
      <w:proofErr w:type="spellEnd"/>
      <w:r w:rsidRPr="00573D7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</w:p>
    <w:p w:rsidR="00573D73" w:rsidRPr="00573D73" w:rsidRDefault="00573D73" w:rsidP="00573D73">
      <w:pPr>
        <w:pStyle w:val="NormalWeb"/>
        <w:rPr>
          <w:rFonts w:ascii="Arial" w:hAnsi="Arial" w:cs="Arial"/>
          <w:sz w:val="28"/>
          <w:szCs w:val="28"/>
          <w:lang w:val="en-US"/>
        </w:rPr>
      </w:pPr>
      <w:r w:rsidRPr="00573D73">
        <w:rPr>
          <w:rFonts w:ascii="Arial" w:hAnsi="Arial" w:cs="Arial"/>
          <w:sz w:val="28"/>
          <w:szCs w:val="28"/>
          <w:lang w:val="en-US"/>
        </w:rPr>
        <w:t xml:space="preserve">Passage de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témoin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à la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tête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de la FSA: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lors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l’AD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qui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s’est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tenue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fin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août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à Berne, les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délégués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ont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élu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573D73">
        <w:rPr>
          <w:rFonts w:ascii="Arial" w:hAnsi="Arial" w:cs="Arial"/>
          <w:sz w:val="28"/>
          <w:szCs w:val="28"/>
          <w:lang w:val="en-US"/>
        </w:rPr>
        <w:t>un</w:t>
      </w:r>
      <w:proofErr w:type="gramEnd"/>
      <w:r w:rsidRPr="00573D73">
        <w:rPr>
          <w:rFonts w:ascii="Arial" w:hAnsi="Arial" w:cs="Arial"/>
          <w:sz w:val="28"/>
          <w:szCs w:val="28"/>
          <w:lang w:val="en-US"/>
        </w:rPr>
        <w:t xml:space="preserve"> nouveau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président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et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nommé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un nouveau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Comité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fédératif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C’est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donc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animée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d’un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nouvel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élan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que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la FSA se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tourne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vers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l’avenir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notamment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dans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le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domaine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technique: face au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succès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de la nouvelle application «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MyWay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Pro», les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anciennes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versions «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MyWay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Classic» et «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MyWay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Lite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» ne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seront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plus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proposées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sur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l’App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Store. La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Fédération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a par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ailleurs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pris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position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sur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deux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projets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mis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en consultation par le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Conseil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fédéral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proofErr w:type="gramStart"/>
      <w:r w:rsidRPr="00573D73">
        <w:rPr>
          <w:rFonts w:ascii="Arial" w:hAnsi="Arial" w:cs="Arial"/>
          <w:sz w:val="28"/>
          <w:szCs w:val="28"/>
          <w:lang w:val="en-US"/>
        </w:rPr>
        <w:t>D’une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part,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celui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de la restructuration de la phase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d’essai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du vote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électronique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573D73">
        <w:rPr>
          <w:rFonts w:ascii="Arial" w:hAnsi="Arial" w:cs="Arial"/>
          <w:sz w:val="28"/>
          <w:szCs w:val="28"/>
          <w:lang w:val="en-US"/>
        </w:rPr>
        <w:t xml:space="preserve"> La FSA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salue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la reprise de la phase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d’essai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et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souligne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l’importance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du vote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électronique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pour les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personnes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aveugles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et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malvoyantes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, qui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leur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permettra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d’exercer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leurs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droits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politiques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manière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autonome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et sans assistance.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D’autre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part, la FSA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s’est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aussi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prononcée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sur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le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projet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consacré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à la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procédure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accélérée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en </w:t>
      </w:r>
      <w:proofErr w:type="spellStart"/>
      <w:proofErr w:type="gramStart"/>
      <w:r w:rsidRPr="00573D73">
        <w:rPr>
          <w:rFonts w:ascii="Arial" w:hAnsi="Arial" w:cs="Arial"/>
          <w:sz w:val="28"/>
          <w:szCs w:val="28"/>
          <w:lang w:val="en-US"/>
        </w:rPr>
        <w:t>cas</w:t>
      </w:r>
      <w:proofErr w:type="spellEnd"/>
      <w:proofErr w:type="gramEnd"/>
      <w:r w:rsidRPr="00573D73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retrait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du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permis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conduire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et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voit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d’un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œil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critique les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assouplissements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prévus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. Pour la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Fédération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, la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sécurité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routière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passe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avant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tout!</w:t>
      </w:r>
    </w:p>
    <w:p w:rsidR="00573D73" w:rsidRPr="00573D73" w:rsidRDefault="00573D73" w:rsidP="00573D73">
      <w:pPr>
        <w:pStyle w:val="NormalWeb"/>
        <w:rPr>
          <w:rFonts w:ascii="Arial" w:hAnsi="Arial" w:cs="Arial"/>
          <w:sz w:val="28"/>
          <w:szCs w:val="28"/>
          <w:lang w:val="en-US"/>
        </w:rPr>
      </w:pPr>
      <w:r w:rsidRPr="00573D73">
        <w:rPr>
          <w:rFonts w:ascii="Arial" w:hAnsi="Arial" w:cs="Arial"/>
          <w:sz w:val="28"/>
          <w:szCs w:val="28"/>
          <w:lang w:val="en-US"/>
        </w:rPr>
        <w:t xml:space="preserve">Pour en savoir plus,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consultez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notre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Newsletter.</w:t>
      </w:r>
    </w:p>
    <w:p w:rsidR="00573D73" w:rsidRPr="00573D73" w:rsidRDefault="00573D73" w:rsidP="00573D73">
      <w:pPr>
        <w:pStyle w:val="NormalWeb"/>
        <w:rPr>
          <w:rFonts w:ascii="Arial" w:hAnsi="Arial" w:cs="Arial"/>
          <w:sz w:val="28"/>
          <w:szCs w:val="28"/>
          <w:lang w:val="en-US"/>
        </w:rPr>
      </w:pP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Cordialement</w:t>
      </w:r>
      <w:proofErr w:type="spellEnd"/>
      <w:proofErr w:type="gramStart"/>
      <w:r w:rsidRPr="00573D73">
        <w:rPr>
          <w:rFonts w:ascii="Arial" w:hAnsi="Arial" w:cs="Arial"/>
          <w:sz w:val="28"/>
          <w:szCs w:val="28"/>
          <w:lang w:val="en-US"/>
        </w:rPr>
        <w:t>,</w:t>
      </w:r>
      <w:proofErr w:type="gramEnd"/>
      <w:r w:rsidRPr="00573D73">
        <w:rPr>
          <w:rFonts w:ascii="Arial" w:hAnsi="Arial" w:cs="Arial"/>
          <w:sz w:val="28"/>
          <w:szCs w:val="28"/>
          <w:lang w:val="en-US"/>
        </w:rPr>
        <w:br/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L’équipe</w:t>
      </w:r>
      <w:proofErr w:type="spellEnd"/>
      <w:r w:rsidRPr="00573D73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573D73">
        <w:rPr>
          <w:rFonts w:ascii="Arial" w:hAnsi="Arial" w:cs="Arial"/>
          <w:sz w:val="28"/>
          <w:szCs w:val="28"/>
          <w:lang w:val="en-US"/>
        </w:rPr>
        <w:t>rédaction</w:t>
      </w:r>
      <w:proofErr w:type="spellEnd"/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73D73" w:rsidRPr="00573D73" w:rsidTr="00573D73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Spacing w:w="0" w:type="dxa"/>
              <w:shd w:val="clear" w:color="auto" w:fill="0018A8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573D73" w:rsidRPr="00573D73">
              <w:trPr>
                <w:tblCellSpacing w:w="0" w:type="dxa"/>
              </w:trPr>
              <w:tc>
                <w:tcPr>
                  <w:tcW w:w="0" w:type="auto"/>
                  <w:shd w:val="clear" w:color="auto" w:fill="0018A8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:rsidR="00573D73" w:rsidRPr="00573D73" w:rsidRDefault="00573D73">
                  <w:pPr>
                    <w:pStyle w:val="Titre2"/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</w:pPr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 xml:space="preserve">Nouvelles élections au Comité fédératif: Roland Studer succède à Remo </w:t>
                  </w:r>
                  <w:proofErr w:type="spellStart"/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>Kuonen</w:t>
                  </w:r>
                  <w:proofErr w:type="spellEnd"/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 xml:space="preserve"> au poste de président </w:t>
                  </w:r>
                </w:p>
              </w:tc>
            </w:tr>
          </w:tbl>
          <w:p w:rsidR="00573D73" w:rsidRPr="00573D73" w:rsidRDefault="00573D7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73D73" w:rsidRPr="00573D73" w:rsidTr="00573D7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pPr w:vertAnchor="text"/>
              <w:tblW w:w="5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573D73" w:rsidRPr="00573D73">
              <w:tc>
                <w:tcPr>
                  <w:tcW w:w="5000" w:type="pct"/>
                  <w:hideMark/>
                </w:tcPr>
                <w:p w:rsidR="00573D73" w:rsidRPr="00573D73" w:rsidRDefault="00573D7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>Lors de l’Assemblée des délégués de la FSA des 28 et 29 août 2021, les délégués ont élu un nouveau président et les membres du Comité fédératif. Après do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uze années à la tête de la Fédé</w:t>
                  </w:r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ration, Remo </w:t>
                  </w:r>
                  <w:proofErr w:type="spellStart"/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>Kuonen</w:t>
                  </w:r>
                  <w:proofErr w:type="spellEnd"/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quitte la présidence et </w:t>
                  </w:r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lastRenderedPageBreak/>
                    <w:t>passe le témoin à Roland Studer.</w:t>
                  </w:r>
                </w:p>
                <w:p w:rsidR="00573D73" w:rsidRPr="00573D73" w:rsidRDefault="00573D7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hyperlink r:id="rId7" w:tooltip="Nouvelles élections au Comité fédératif: Roland Studer succède à Remo Kuonen au poste de président " w:history="1">
                    <w:r w:rsidRPr="00573D73">
                      <w:rPr>
                        <w:rStyle w:val="Lienhypertexte"/>
                        <w:rFonts w:ascii="Arial" w:eastAsia="Times New Roman" w:hAnsi="Arial" w:cs="Arial"/>
                        <w:sz w:val="28"/>
                        <w:szCs w:val="28"/>
                      </w:rPr>
                      <w:t>En savoir plus</w:t>
                    </w:r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 xml:space="preserve"> sur Nouvelles élections au Comité fédératif: Roland Studer succède à Remo </w:t>
                    </w:r>
                    <w:proofErr w:type="spellStart"/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>Kuonen</w:t>
                    </w:r>
                    <w:proofErr w:type="spellEnd"/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 xml:space="preserve"> au poste de président </w:t>
                    </w:r>
                  </w:hyperlink>
                </w:p>
              </w:tc>
            </w:tr>
          </w:tbl>
          <w:tbl>
            <w:tblPr>
              <w:tblpPr w:leftFromText="36" w:rightFromText="36" w:vertAnchor="text"/>
              <w:tblW w:w="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</w:tblGrid>
            <w:tr w:rsidR="00573D73" w:rsidRPr="00573D73">
              <w:trPr>
                <w:trHeight w:val="24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73D73" w:rsidRPr="00573D73" w:rsidRDefault="00573D7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vertAnchor="text" w:tblpXSpec="right" w:tblpYSpec="center"/>
              <w:tblW w:w="34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4"/>
            </w:tblGrid>
            <w:tr w:rsidR="00573D73" w:rsidRPr="00573D73">
              <w:tc>
                <w:tcPr>
                  <w:tcW w:w="5000" w:type="pct"/>
                  <w:vAlign w:val="center"/>
                  <w:hideMark/>
                </w:tcPr>
                <w:p w:rsidR="00573D73" w:rsidRPr="00573D73" w:rsidRDefault="00573D7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573D73">
                    <w:rPr>
                      <w:rFonts w:ascii="Arial" w:eastAsia="Times New Roman" w:hAnsi="Arial" w:cs="Arial"/>
                      <w:noProof/>
                      <w:color w:val="0000FF"/>
                      <w:sz w:val="28"/>
                      <w:szCs w:val="28"/>
                    </w:rPr>
                    <w:drawing>
                      <wp:inline distT="0" distB="0" distL="0" distR="0">
                        <wp:extent cx="2193290" cy="990600"/>
                        <wp:effectExtent l="19050" t="0" r="0" b="0"/>
                        <wp:docPr id="2" name="Image 2" descr="Le Comité fédératif nouvellement élu, de gauche à droite : Michaela Lupi, Giuseppe Porcu, Christoph Käser, Roland Studer, Luana Schena, Christian Huber.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 Comité fédératif nouvellement élu, de gauche à droite : Michaela Lupi, Giuseppe Porcu, Christoph Käser, Roland Studer, Luana Schena, Christian Huber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329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D73" w:rsidRPr="00573D73" w:rsidRDefault="00573D7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573D73" w:rsidRPr="00573D73" w:rsidRDefault="00573D73" w:rsidP="00573D73">
      <w:pPr>
        <w:rPr>
          <w:rFonts w:ascii="Arial" w:eastAsia="Times New Roman" w:hAnsi="Arial" w:cs="Arial"/>
          <w:sz w:val="28"/>
          <w:szCs w:val="28"/>
          <w:lang w:val="en-U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73D73" w:rsidRPr="00573D73" w:rsidTr="00573D73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Spacing w:w="0" w:type="dxa"/>
              <w:shd w:val="clear" w:color="auto" w:fill="0018A8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573D73" w:rsidRPr="00573D73">
              <w:trPr>
                <w:tblCellSpacing w:w="0" w:type="dxa"/>
              </w:trPr>
              <w:tc>
                <w:tcPr>
                  <w:tcW w:w="0" w:type="auto"/>
                  <w:shd w:val="clear" w:color="auto" w:fill="0018A8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:rsidR="00573D73" w:rsidRPr="00573D73" w:rsidRDefault="00573D73">
                  <w:pPr>
                    <w:pStyle w:val="Titre2"/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</w:pPr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>«</w:t>
                  </w:r>
                  <w:proofErr w:type="spellStart"/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>MyWay</w:t>
                  </w:r>
                  <w:proofErr w:type="spellEnd"/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 xml:space="preserve"> Pro» remplace les anciennes applis «</w:t>
                  </w:r>
                  <w:proofErr w:type="spellStart"/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>MyWay</w:t>
                  </w:r>
                  <w:proofErr w:type="spellEnd"/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>Classic</w:t>
                  </w:r>
                  <w:proofErr w:type="spellEnd"/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>» et «</w:t>
                  </w:r>
                  <w:proofErr w:type="spellStart"/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>MyWay</w:t>
                  </w:r>
                  <w:proofErr w:type="spellEnd"/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 xml:space="preserve"> Lite» </w:t>
                  </w:r>
                </w:p>
              </w:tc>
            </w:tr>
          </w:tbl>
          <w:p w:rsidR="00573D73" w:rsidRPr="00573D73" w:rsidRDefault="00573D7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73D73" w:rsidRPr="00573D73" w:rsidTr="00573D7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pPr w:vertAnchor="text"/>
              <w:tblW w:w="5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573D73" w:rsidRPr="00573D73">
              <w:tc>
                <w:tcPr>
                  <w:tcW w:w="5000" w:type="pct"/>
                  <w:hideMark/>
                </w:tcPr>
                <w:p w:rsidR="00573D73" w:rsidRPr="00573D73" w:rsidRDefault="00573D7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>En juin 2020, la FSA a lancé la nouvelle application d’orientation et de navigation «</w:t>
                  </w:r>
                  <w:proofErr w:type="spellStart"/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>MyWay</w:t>
                  </w:r>
                  <w:proofErr w:type="spellEnd"/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Pro». Suite à ce lancement, la demande pour «</w:t>
                  </w:r>
                  <w:proofErr w:type="spellStart"/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>MyWay</w:t>
                  </w:r>
                  <w:proofErr w:type="spellEnd"/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>Classic</w:t>
                  </w:r>
                  <w:proofErr w:type="spellEnd"/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>» et «</w:t>
                  </w:r>
                  <w:proofErr w:type="spellStart"/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>MyWay</w:t>
                  </w:r>
                  <w:proofErr w:type="spellEnd"/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Lite» a sensiblement diminué, et la FSA a donc décidé de se focaliser sur la version «</w:t>
                  </w:r>
                  <w:proofErr w:type="spellStart"/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>MyWay</w:t>
                  </w:r>
                  <w:proofErr w:type="spellEnd"/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Pro» et de ne plus proposer les anciennes applis.</w:t>
                  </w:r>
                </w:p>
                <w:p w:rsidR="00573D73" w:rsidRPr="00573D73" w:rsidRDefault="00573D7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hyperlink r:id="rId9" w:tooltip="«MyWay Pro» remplace les anciennes applis «MyWay Classic» et «MyWay Lite» " w:history="1">
                    <w:r w:rsidRPr="00573D73">
                      <w:rPr>
                        <w:rStyle w:val="Lienhypertexte"/>
                        <w:rFonts w:ascii="Arial" w:eastAsia="Times New Roman" w:hAnsi="Arial" w:cs="Arial"/>
                        <w:sz w:val="28"/>
                        <w:szCs w:val="28"/>
                      </w:rPr>
                      <w:t>En savoir plus</w:t>
                    </w:r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 xml:space="preserve"> sur «</w:t>
                    </w:r>
                    <w:proofErr w:type="spellStart"/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>MyWay</w:t>
                    </w:r>
                    <w:proofErr w:type="spellEnd"/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 xml:space="preserve"> Pro» remplace les anciennes applis «</w:t>
                    </w:r>
                    <w:proofErr w:type="spellStart"/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>MyWay</w:t>
                    </w:r>
                    <w:proofErr w:type="spellEnd"/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>Classic</w:t>
                    </w:r>
                    <w:proofErr w:type="spellEnd"/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>» et «</w:t>
                    </w:r>
                    <w:proofErr w:type="spellStart"/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>MyWay</w:t>
                    </w:r>
                    <w:proofErr w:type="spellEnd"/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 xml:space="preserve"> Lite» </w:t>
                    </w:r>
                  </w:hyperlink>
                </w:p>
              </w:tc>
            </w:tr>
          </w:tbl>
          <w:tbl>
            <w:tblPr>
              <w:tblpPr w:leftFromText="36" w:rightFromText="36" w:vertAnchor="text"/>
              <w:tblW w:w="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</w:tblGrid>
            <w:tr w:rsidR="00573D73" w:rsidRPr="00573D73">
              <w:trPr>
                <w:trHeight w:val="24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73D73" w:rsidRPr="00573D73" w:rsidRDefault="00573D7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vertAnchor="text" w:tblpXSpec="right" w:tblpYSpec="center"/>
              <w:tblW w:w="34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4"/>
            </w:tblGrid>
            <w:tr w:rsidR="00573D73" w:rsidRPr="00573D73">
              <w:tc>
                <w:tcPr>
                  <w:tcW w:w="5000" w:type="pct"/>
                  <w:vAlign w:val="center"/>
                  <w:hideMark/>
                </w:tcPr>
                <w:p w:rsidR="00573D73" w:rsidRPr="00573D73" w:rsidRDefault="00573D7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573D73">
                    <w:rPr>
                      <w:rFonts w:ascii="Arial" w:eastAsia="Times New Roman" w:hAnsi="Arial" w:cs="Arial"/>
                      <w:noProof/>
                      <w:color w:val="0000FF"/>
                      <w:sz w:val="28"/>
                      <w:szCs w:val="28"/>
                    </w:rPr>
                    <w:drawing>
                      <wp:inline distT="0" distB="0" distL="0" distR="0">
                        <wp:extent cx="2193290" cy="2193290"/>
                        <wp:effectExtent l="19050" t="0" r="0" b="0"/>
                        <wp:docPr id="3" name="Image 3" descr="App Icon MyWay pro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pp Icon MyWay p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3290" cy="2193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D73" w:rsidRPr="00573D73" w:rsidRDefault="00573D7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573D73" w:rsidRPr="00573D73" w:rsidRDefault="00573D73" w:rsidP="00573D73">
      <w:pPr>
        <w:rPr>
          <w:rFonts w:ascii="Arial" w:eastAsia="Times New Roman" w:hAnsi="Arial" w:cs="Arial"/>
          <w:sz w:val="28"/>
          <w:szCs w:val="28"/>
          <w:lang w:val="en-U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73D73" w:rsidRPr="00573D73" w:rsidTr="00573D73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Spacing w:w="0" w:type="dxa"/>
              <w:shd w:val="clear" w:color="auto" w:fill="0018A8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573D73" w:rsidRPr="00573D73">
              <w:trPr>
                <w:tblCellSpacing w:w="0" w:type="dxa"/>
              </w:trPr>
              <w:tc>
                <w:tcPr>
                  <w:tcW w:w="0" w:type="auto"/>
                  <w:shd w:val="clear" w:color="auto" w:fill="0018A8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:rsidR="00573D73" w:rsidRPr="00573D73" w:rsidRDefault="00573D73">
                  <w:pPr>
                    <w:pStyle w:val="Titre2"/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</w:pPr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 xml:space="preserve">Faites-nous part de vos expériences avec «Inclusive </w:t>
                  </w:r>
                  <w:proofErr w:type="spellStart"/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>CFF</w:t>
                  </w:r>
                  <w:proofErr w:type="spellEnd"/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 xml:space="preserve">» </w:t>
                  </w:r>
                </w:p>
              </w:tc>
            </w:tr>
          </w:tbl>
          <w:p w:rsidR="00573D73" w:rsidRPr="00573D73" w:rsidRDefault="00573D7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73D73" w:rsidRPr="00573D73" w:rsidTr="00573D7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pPr w:vertAnchor="text"/>
              <w:tblW w:w="5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573D73" w:rsidRPr="00573D73">
              <w:tc>
                <w:tcPr>
                  <w:tcW w:w="5000" w:type="pct"/>
                  <w:hideMark/>
                </w:tcPr>
                <w:p w:rsidR="00573D73" w:rsidRPr="00573D73" w:rsidRDefault="00573D7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L'application «Inclusive </w:t>
                  </w:r>
                  <w:proofErr w:type="spellStart"/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>CFF</w:t>
                  </w:r>
                  <w:proofErr w:type="spellEnd"/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» facilite les déplacements des voyageurs aveugles et malvoyants dans les transports en commun. Afin de poursuivre son développement de manière ciblée aux besoins réels, les </w:t>
                  </w:r>
                  <w:proofErr w:type="spellStart"/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>CFF</w:t>
                  </w:r>
                  <w:proofErr w:type="spellEnd"/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dépendent des utilisateurs, de leurs retours d’expériences, perturbations ou suggestions d’amélioration.</w:t>
                  </w:r>
                </w:p>
                <w:p w:rsidR="00573D73" w:rsidRPr="00573D73" w:rsidRDefault="00573D7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hyperlink r:id="rId11" w:tooltip="Faites-nous part de vos expériences avec «Inclusive CFF» " w:history="1">
                    <w:r w:rsidRPr="00573D73">
                      <w:rPr>
                        <w:rStyle w:val="Lienhypertexte"/>
                        <w:rFonts w:ascii="Arial" w:eastAsia="Times New Roman" w:hAnsi="Arial" w:cs="Arial"/>
                        <w:sz w:val="28"/>
                        <w:szCs w:val="28"/>
                      </w:rPr>
                      <w:t>En savoir plus</w:t>
                    </w:r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 xml:space="preserve"> sur Faites-nous part de vos expériences avec «Inclusive </w:t>
                    </w:r>
                    <w:proofErr w:type="spellStart"/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>CFF</w:t>
                    </w:r>
                    <w:proofErr w:type="spellEnd"/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 xml:space="preserve">» </w:t>
                    </w:r>
                  </w:hyperlink>
                </w:p>
              </w:tc>
            </w:tr>
          </w:tbl>
          <w:tbl>
            <w:tblPr>
              <w:tblpPr w:leftFromText="36" w:rightFromText="36" w:vertAnchor="text"/>
              <w:tblW w:w="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</w:tblGrid>
            <w:tr w:rsidR="00573D73" w:rsidRPr="00573D73">
              <w:trPr>
                <w:trHeight w:val="24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73D73" w:rsidRPr="00573D73" w:rsidRDefault="00573D7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vertAnchor="text" w:tblpXSpec="right" w:tblpYSpec="center"/>
              <w:tblW w:w="34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4"/>
            </w:tblGrid>
            <w:tr w:rsidR="00573D73" w:rsidRPr="00573D73">
              <w:tc>
                <w:tcPr>
                  <w:tcW w:w="5000" w:type="pct"/>
                  <w:vAlign w:val="center"/>
                  <w:hideMark/>
                </w:tcPr>
                <w:p w:rsidR="00573D73" w:rsidRPr="00573D73" w:rsidRDefault="00573D7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573D73">
                    <w:rPr>
                      <w:rFonts w:ascii="Arial" w:eastAsia="Times New Roman" w:hAnsi="Arial" w:cs="Arial"/>
                      <w:noProof/>
                      <w:color w:val="0000FF"/>
                      <w:sz w:val="28"/>
                      <w:szCs w:val="28"/>
                    </w:rPr>
                    <w:drawing>
                      <wp:inline distT="0" distB="0" distL="0" distR="0">
                        <wp:extent cx="2193290" cy="1115695"/>
                        <wp:effectExtent l="19050" t="0" r="0" b="0"/>
                        <wp:docPr id="4" name="Image 4" descr="Illustrations de l'interface utilisateur de CFF Inclusive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llustrations de l'interface utilisateur de CFF Inclusiv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3290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D73" w:rsidRPr="00573D73" w:rsidRDefault="00573D7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573D73" w:rsidRPr="00573D73" w:rsidRDefault="00573D73" w:rsidP="00573D73">
      <w:pPr>
        <w:rPr>
          <w:rFonts w:ascii="Arial" w:eastAsia="Times New Roman" w:hAnsi="Arial" w:cs="Arial"/>
          <w:sz w:val="28"/>
          <w:szCs w:val="28"/>
          <w:lang w:val="en-U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73D73" w:rsidRPr="00573D73" w:rsidTr="00573D73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Spacing w:w="0" w:type="dxa"/>
              <w:shd w:val="clear" w:color="auto" w:fill="0018A8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573D73" w:rsidRPr="00573D73">
              <w:trPr>
                <w:tblCellSpacing w:w="0" w:type="dxa"/>
              </w:trPr>
              <w:tc>
                <w:tcPr>
                  <w:tcW w:w="0" w:type="auto"/>
                  <w:shd w:val="clear" w:color="auto" w:fill="0018A8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:rsidR="00573D73" w:rsidRPr="00573D73" w:rsidRDefault="00573D73">
                  <w:pPr>
                    <w:pStyle w:val="Titre2"/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</w:pPr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lastRenderedPageBreak/>
                    <w:t xml:space="preserve">Procédure de consultation 1: la FSA salue la reprise des essais de vote </w:t>
                  </w:r>
                  <w:proofErr w:type="spellStart"/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>électro-nique</w:t>
                  </w:r>
                  <w:proofErr w:type="spellEnd"/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73D73" w:rsidRPr="00573D73" w:rsidRDefault="00573D7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73D73" w:rsidRPr="00573D73" w:rsidTr="00573D7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pPr w:vertAnchor="text"/>
              <w:tblW w:w="5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573D73" w:rsidRPr="00573D73">
              <w:tc>
                <w:tcPr>
                  <w:tcW w:w="5000" w:type="pct"/>
                  <w:hideMark/>
                </w:tcPr>
                <w:p w:rsidR="00573D73" w:rsidRPr="00573D73" w:rsidRDefault="00573D7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Dans sa prise de position en réponse à la consultation sur le projet de restructuration du vote électronique, la FSA salue l’intention de la Confédération de reprendre la phase d’essai. Elle demande toutefois que l’accessibilité pleine et entière soit </w:t>
                  </w:r>
                  <w:proofErr w:type="spellStart"/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>impé-rativement</w:t>
                  </w:r>
                  <w:proofErr w:type="spellEnd"/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garantie.</w:t>
                  </w:r>
                </w:p>
                <w:p w:rsidR="00573D73" w:rsidRPr="00573D73" w:rsidRDefault="00573D7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hyperlink r:id="rId13" w:tooltip="Procédure de consultation 1: la FSA salue la reprise des essais de vote électro-nique " w:history="1">
                    <w:r w:rsidRPr="00573D73">
                      <w:rPr>
                        <w:rStyle w:val="Lienhypertexte"/>
                        <w:rFonts w:ascii="Arial" w:eastAsia="Times New Roman" w:hAnsi="Arial" w:cs="Arial"/>
                        <w:sz w:val="28"/>
                        <w:szCs w:val="28"/>
                      </w:rPr>
                      <w:t>En savoir plus</w:t>
                    </w:r>
                    <w:r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 xml:space="preserve"> sur Procédure de </w:t>
                    </w:r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 xml:space="preserve">consultation 1: la FSA salue la reprise des essais de vote </w:t>
                    </w:r>
                    <w:proofErr w:type="spellStart"/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>électro-nique</w:t>
                    </w:r>
                    <w:proofErr w:type="spellEnd"/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 xml:space="preserve"> </w:t>
                    </w:r>
                  </w:hyperlink>
                </w:p>
              </w:tc>
            </w:tr>
          </w:tbl>
          <w:tbl>
            <w:tblPr>
              <w:tblpPr w:leftFromText="36" w:rightFromText="36" w:vertAnchor="text"/>
              <w:tblW w:w="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</w:tblGrid>
            <w:tr w:rsidR="00573D73" w:rsidRPr="00573D73">
              <w:trPr>
                <w:trHeight w:val="24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73D73" w:rsidRPr="00573D73" w:rsidRDefault="00573D7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vertAnchor="text" w:tblpXSpec="right" w:tblpYSpec="center"/>
              <w:tblW w:w="34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4"/>
            </w:tblGrid>
            <w:tr w:rsidR="00573D73" w:rsidRPr="00573D73">
              <w:tc>
                <w:tcPr>
                  <w:tcW w:w="5000" w:type="pct"/>
                  <w:vAlign w:val="center"/>
                  <w:hideMark/>
                </w:tcPr>
                <w:p w:rsidR="00573D73" w:rsidRPr="00573D73" w:rsidRDefault="00573D7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573D73">
                    <w:rPr>
                      <w:rFonts w:ascii="Arial" w:eastAsia="Times New Roman" w:hAnsi="Arial" w:cs="Arial"/>
                      <w:noProof/>
                      <w:color w:val="0000FF"/>
                      <w:sz w:val="28"/>
                      <w:szCs w:val="28"/>
                    </w:rPr>
                    <w:drawing>
                      <wp:inline distT="0" distB="0" distL="0" distR="0">
                        <wp:extent cx="2193290" cy="1458595"/>
                        <wp:effectExtent l="19050" t="0" r="0" b="0"/>
                        <wp:docPr id="5" name="Image 5" descr="Person beim Abstimmen übers Handy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erson beim Abstimmen übers Hand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3290" cy="1458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D73" w:rsidRPr="00573D73" w:rsidRDefault="00573D7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573D73" w:rsidRPr="00573D73" w:rsidRDefault="00573D73" w:rsidP="00573D73">
      <w:pPr>
        <w:rPr>
          <w:rFonts w:ascii="Arial" w:eastAsia="Times New Roman" w:hAnsi="Arial" w:cs="Arial"/>
          <w:sz w:val="28"/>
          <w:szCs w:val="28"/>
          <w:lang w:val="en-US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73D73" w:rsidRPr="00573D73" w:rsidTr="00573D73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Spacing w:w="0" w:type="dxa"/>
              <w:shd w:val="clear" w:color="auto" w:fill="0018A8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573D73" w:rsidRPr="00573D73">
              <w:trPr>
                <w:tblCellSpacing w:w="0" w:type="dxa"/>
              </w:trPr>
              <w:tc>
                <w:tcPr>
                  <w:tcW w:w="0" w:type="auto"/>
                  <w:shd w:val="clear" w:color="auto" w:fill="0018A8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:rsidR="00573D73" w:rsidRPr="00573D73" w:rsidRDefault="00573D73">
                  <w:pPr>
                    <w:pStyle w:val="Titre2"/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</w:pPr>
                  <w:r w:rsidRPr="00573D73">
                    <w:rPr>
                      <w:rFonts w:ascii="Arial" w:eastAsia="Times New Roman" w:hAnsi="Arial" w:cs="Arial"/>
                      <w:color w:val="FFFFFF"/>
                      <w:sz w:val="28"/>
                      <w:szCs w:val="28"/>
                    </w:rPr>
                    <w:t xml:space="preserve">Procédure de consultation 2: la FSA défend la sécurité des piétons </w:t>
                  </w:r>
                </w:p>
              </w:tc>
            </w:tr>
          </w:tbl>
          <w:p w:rsidR="00573D73" w:rsidRPr="00573D73" w:rsidRDefault="00573D7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73D73" w:rsidRPr="00573D73" w:rsidTr="00573D7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pPr w:vertAnchor="text"/>
              <w:tblW w:w="5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573D73" w:rsidRPr="00573D73">
              <w:tc>
                <w:tcPr>
                  <w:tcW w:w="5000" w:type="pct"/>
                  <w:hideMark/>
                </w:tcPr>
                <w:p w:rsidR="00573D73" w:rsidRPr="00573D73" w:rsidRDefault="00573D7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573D73">
                    <w:rPr>
                      <w:rFonts w:ascii="Arial" w:eastAsia="Times New Roman" w:hAnsi="Arial" w:cs="Arial"/>
                      <w:sz w:val="28"/>
                      <w:szCs w:val="28"/>
                    </w:rPr>
                    <w:t>Dans une deuxième procédure de consultation, la FSA s’est clairement prononcée contre la proposition du Conseil fédéral d’autoriser les conducteurs professionnels, en cas de retrait du permis de conduire, à effectuer les trajets nécessaires à l’exercice de leur profession. La sécurité routière doit passer avant tout!</w:t>
                  </w:r>
                </w:p>
                <w:p w:rsidR="00573D73" w:rsidRPr="00573D73" w:rsidRDefault="00573D7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hyperlink r:id="rId15" w:tooltip="Procédure de consultation 2: la FSA défend la sécurité des piétons " w:history="1">
                    <w:r w:rsidRPr="00573D73">
                      <w:rPr>
                        <w:rStyle w:val="Lienhypertexte"/>
                        <w:rFonts w:ascii="Arial" w:eastAsia="Times New Roman" w:hAnsi="Arial" w:cs="Arial"/>
                        <w:sz w:val="28"/>
                        <w:szCs w:val="28"/>
                      </w:rPr>
                      <w:t>En savoir plus</w:t>
                    </w:r>
                    <w:r w:rsidRPr="00573D73">
                      <w:rPr>
                        <w:rStyle w:val="visually-hidden"/>
                        <w:rFonts w:ascii="Arial" w:eastAsia="Times New Roman" w:hAnsi="Arial" w:cs="Arial"/>
                        <w:color w:val="0000FF"/>
                        <w:sz w:val="28"/>
                        <w:szCs w:val="28"/>
                      </w:rPr>
                      <w:t xml:space="preserve"> sur Procédure de consultation 2: la FSA défend la sécurité des piétons </w:t>
                    </w:r>
                  </w:hyperlink>
                </w:p>
              </w:tc>
            </w:tr>
          </w:tbl>
          <w:tbl>
            <w:tblPr>
              <w:tblpPr w:leftFromText="36" w:rightFromText="36" w:vertAnchor="text"/>
              <w:tblW w:w="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</w:tblGrid>
            <w:tr w:rsidR="00573D73" w:rsidRPr="00573D73">
              <w:trPr>
                <w:trHeight w:val="24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73D73" w:rsidRPr="00573D73" w:rsidRDefault="00573D7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vertAnchor="text" w:tblpXSpec="right" w:tblpYSpec="center"/>
              <w:tblW w:w="34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4"/>
            </w:tblGrid>
            <w:tr w:rsidR="00573D73" w:rsidRPr="00573D73">
              <w:tc>
                <w:tcPr>
                  <w:tcW w:w="5000" w:type="pct"/>
                  <w:vAlign w:val="center"/>
                  <w:hideMark/>
                </w:tcPr>
                <w:p w:rsidR="00573D73" w:rsidRPr="00573D73" w:rsidRDefault="00573D73">
                  <w:pPr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573D73">
                    <w:rPr>
                      <w:rFonts w:ascii="Arial" w:eastAsia="Times New Roman" w:hAnsi="Arial" w:cs="Arial"/>
                      <w:noProof/>
                      <w:color w:val="0000FF"/>
                      <w:sz w:val="28"/>
                      <w:szCs w:val="28"/>
                    </w:rPr>
                    <w:drawing>
                      <wp:inline distT="0" distB="0" distL="0" distR="0">
                        <wp:extent cx="2193290" cy="1649095"/>
                        <wp:effectExtent l="19050" t="0" r="0" b="0"/>
                        <wp:docPr id="6" name="Image 6" descr="Autoroute avec un trafic dense de voitures particulières et de camions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utoroute avec un trafic dense de voitures particulières et de cam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3290" cy="1649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D73" w:rsidRPr="00573D73" w:rsidRDefault="00573D7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573D73" w:rsidRPr="00573D73" w:rsidRDefault="00573D73" w:rsidP="00573D73">
      <w:pPr>
        <w:rPr>
          <w:rFonts w:ascii="Arial" w:eastAsia="Times New Roman" w:hAnsi="Arial" w:cs="Arial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top w:w="150" w:type="dxa"/>
          <w:left w:w="0" w:type="dxa"/>
          <w:right w:w="0" w:type="dxa"/>
        </w:tblCellMar>
        <w:tblLook w:val="04A0"/>
      </w:tblPr>
      <w:tblGrid>
        <w:gridCol w:w="9072"/>
      </w:tblGrid>
      <w:tr w:rsidR="00573D73" w:rsidRPr="00573D73" w:rsidTr="00573D73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D73" w:rsidRPr="00573D73" w:rsidRDefault="00573D7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573D73" w:rsidRPr="00573D73" w:rsidRDefault="00573D73" w:rsidP="00573D73">
      <w:pPr>
        <w:rPr>
          <w:rFonts w:ascii="Arial" w:eastAsia="Times New Roman" w:hAnsi="Arial" w:cs="Arial"/>
          <w:vanish/>
          <w:sz w:val="28"/>
          <w:szCs w:val="28"/>
          <w:lang w:val="en-US"/>
        </w:rPr>
      </w:pPr>
    </w:p>
    <w:tbl>
      <w:tblPr>
        <w:tblW w:w="5000" w:type="pct"/>
        <w:tblCellSpacing w:w="0" w:type="dxa"/>
        <w:shd w:val="clear" w:color="auto" w:fill="0018A8"/>
        <w:tblCellMar>
          <w:top w:w="150" w:type="dxa"/>
          <w:left w:w="225" w:type="dxa"/>
          <w:bottom w:w="150" w:type="dxa"/>
          <w:right w:w="225" w:type="dxa"/>
        </w:tblCellMar>
        <w:tblLook w:val="04A0"/>
      </w:tblPr>
      <w:tblGrid>
        <w:gridCol w:w="9522"/>
      </w:tblGrid>
      <w:tr w:rsidR="00573D73" w:rsidRPr="00573D73" w:rsidTr="00573D73">
        <w:trPr>
          <w:tblCellSpacing w:w="0" w:type="dxa"/>
        </w:trPr>
        <w:tc>
          <w:tcPr>
            <w:tcW w:w="0" w:type="auto"/>
            <w:shd w:val="clear" w:color="auto" w:fill="0018A8"/>
            <w:vAlign w:val="center"/>
            <w:hideMark/>
          </w:tcPr>
          <w:p w:rsidR="00573D73" w:rsidRPr="00573D73" w:rsidRDefault="00573D73">
            <w:pPr>
              <w:pStyle w:val="NormalWeb"/>
              <w:rPr>
                <w:rFonts w:ascii="Arial" w:hAnsi="Arial" w:cs="Arial"/>
                <w:color w:val="FFFFFF"/>
                <w:sz w:val="28"/>
                <w:szCs w:val="28"/>
                <w:lang w:val="fr-CH"/>
              </w:rPr>
            </w:pPr>
            <w:r w:rsidRPr="00573D73">
              <w:rPr>
                <w:rFonts w:ascii="Arial" w:hAnsi="Arial" w:cs="Arial"/>
                <w:color w:val="FFFFFF"/>
                <w:sz w:val="28"/>
                <w:szCs w:val="28"/>
                <w:lang w:val="fr-CH"/>
              </w:rPr>
              <w:t xml:space="preserve">La FSA est titulaire du label de qualité </w:t>
            </w:r>
            <w:proofErr w:type="spellStart"/>
            <w:r w:rsidRPr="00573D73">
              <w:rPr>
                <w:rFonts w:ascii="Arial" w:hAnsi="Arial" w:cs="Arial"/>
                <w:color w:val="FFFFFF"/>
                <w:sz w:val="28"/>
                <w:szCs w:val="28"/>
                <w:lang w:val="fr-CH"/>
              </w:rPr>
              <w:t>Zewo</w:t>
            </w:r>
            <w:proofErr w:type="spellEnd"/>
            <w:r w:rsidRPr="00573D73">
              <w:rPr>
                <w:rFonts w:ascii="Arial" w:hAnsi="Arial" w:cs="Arial"/>
                <w:color w:val="FFFFFF"/>
                <w:sz w:val="28"/>
                <w:szCs w:val="28"/>
                <w:lang w:val="fr-CH"/>
              </w:rPr>
              <w:t xml:space="preserve"> </w:t>
            </w:r>
            <w:r w:rsidRPr="00573D73">
              <w:rPr>
                <w:rFonts w:ascii="Arial" w:hAnsi="Arial" w:cs="Arial"/>
                <w:noProof/>
                <w:color w:val="FFFFFF"/>
                <w:sz w:val="28"/>
                <w:szCs w:val="28"/>
              </w:rPr>
              <w:drawing>
                <wp:inline distT="0" distB="0" distL="0" distR="0">
                  <wp:extent cx="478790" cy="506095"/>
                  <wp:effectExtent l="19050" t="0" r="0" b="0"/>
                  <wp:docPr id="7" name="Image 7" descr="Zew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ew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D73" w:rsidRPr="00573D73" w:rsidRDefault="00573D73">
            <w:pPr>
              <w:pStyle w:val="NormalWeb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573D73">
              <w:rPr>
                <w:rFonts w:ascii="Arial" w:hAnsi="Arial" w:cs="Arial"/>
                <w:color w:val="FFFFFF"/>
                <w:sz w:val="28"/>
                <w:szCs w:val="28"/>
              </w:rPr>
              <w:t xml:space="preserve">Vous recevez cet e-mail car vous êtes inscrit à la newsletter de la FSA. Si vous ne le souhaitez plus, cliquez sur </w:t>
            </w:r>
            <w:hyperlink r:id="rId18" w:history="1">
              <w:r w:rsidRPr="00573D73">
                <w:rPr>
                  <w:rStyle w:val="Lienhypertexte"/>
                  <w:rFonts w:ascii="Arial" w:hAnsi="Arial" w:cs="Arial"/>
                  <w:color w:val="FFFFFF"/>
                  <w:sz w:val="28"/>
                  <w:szCs w:val="28"/>
                </w:rPr>
                <w:t>désabonner</w:t>
              </w:r>
            </w:hyperlink>
            <w:r w:rsidRPr="00573D73">
              <w:rPr>
                <w:rFonts w:ascii="Arial" w:hAnsi="Arial" w:cs="Arial"/>
                <w:color w:val="FFFFFF"/>
                <w:sz w:val="28"/>
                <w:szCs w:val="28"/>
              </w:rPr>
              <w:t>.</w:t>
            </w:r>
          </w:p>
        </w:tc>
      </w:tr>
    </w:tbl>
    <w:p w:rsidR="00DF5EF5" w:rsidRPr="00573D73" w:rsidRDefault="00DF5EF5">
      <w:pPr>
        <w:rPr>
          <w:rFonts w:ascii="Arial" w:hAnsi="Arial" w:cs="Arial"/>
          <w:sz w:val="28"/>
          <w:szCs w:val="28"/>
        </w:rPr>
      </w:pPr>
    </w:p>
    <w:sectPr w:rsidR="00DF5EF5" w:rsidRPr="00573D73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95E"/>
    <w:multiLevelType w:val="multilevel"/>
    <w:tmpl w:val="BF3C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02744"/>
    <w:multiLevelType w:val="multilevel"/>
    <w:tmpl w:val="09B2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B3115"/>
    <w:multiLevelType w:val="multilevel"/>
    <w:tmpl w:val="65E4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00A1C"/>
    <w:multiLevelType w:val="multilevel"/>
    <w:tmpl w:val="1CE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D5F04"/>
    <w:multiLevelType w:val="multilevel"/>
    <w:tmpl w:val="E04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73D73"/>
    <w:rsid w:val="00573D73"/>
    <w:rsid w:val="006215C1"/>
    <w:rsid w:val="00687751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7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73D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unhideWhenUsed/>
    <w:qFormat/>
    <w:rsid w:val="0057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3D73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73D73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73D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3D73"/>
    <w:pPr>
      <w:spacing w:before="100" w:beforeAutospacing="1" w:after="100" w:afterAutospacing="1"/>
    </w:pPr>
  </w:style>
  <w:style w:type="character" w:customStyle="1" w:styleId="visually-hidden">
    <w:name w:val="visually-hidden"/>
    <w:basedOn w:val="Policepardfaut"/>
    <w:rsid w:val="00573D73"/>
  </w:style>
  <w:style w:type="paragraph" w:styleId="Textedebulles">
    <w:name w:val="Balloon Text"/>
    <w:basedOn w:val="Normal"/>
    <w:link w:val="TextedebullesCar"/>
    <w:uiPriority w:val="99"/>
    <w:semiHidden/>
    <w:unhideWhenUsed/>
    <w:rsid w:val="0057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D7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bv-fsa.ch/fr/newsletter/procedure-de-consultation-1-la-fsa-salue-la-reprise-des-essais-de-vote-electro-nique" TargetMode="External"/><Relationship Id="rId18" Type="http://schemas.openxmlformats.org/officeDocument/2006/relationships/hyperlink" Target="https://sbv-fsa.ch/fr/newsletter/confirm/remove/9231/newsletter_fsa_fr/1630380001/x3IE0OgW3XZUzJef9j3JwvLNQpRfBx0tDtdm0Xj48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bv-fsa.ch/fr/newsletter/nouvelles-elections-au-comite-federatif-roland-studer-succede-remo-kuonen-au-poste-d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bv-fsa.ch/fr/newsletter/faites-nous-part-de-vos-experiences-avec-inclusive-cff" TargetMode="External"/><Relationship Id="rId5" Type="http://schemas.openxmlformats.org/officeDocument/2006/relationships/hyperlink" Target="www.sbv-fsa.ch" TargetMode="External"/><Relationship Id="rId15" Type="http://schemas.openxmlformats.org/officeDocument/2006/relationships/hyperlink" Target="https://sbv-fsa.ch/fr/newsletter/procedure-de-consultation-2-la-fsa-defend-la-securite-des-pietons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bv-fsa.ch/fr/newsletter/myway-pro-remplace-les-anciennes-applis-myway-classic-et-myway-lit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2021-08-31T06:36:00Z</dcterms:created>
  <dcterms:modified xsi:type="dcterms:W3CDTF">2021-08-31T06:39:00Z</dcterms:modified>
</cp:coreProperties>
</file>