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68" w:rsidRDefault="00D46C68" w:rsidP="00D46C68">
      <w:pPr>
        <w:rPr>
          <w:rFonts w:eastAsia="Times New Roman"/>
          <w:lang w:val="en-US"/>
        </w:rPr>
      </w:pPr>
    </w:p>
    <w:tbl>
      <w:tblPr>
        <w:tblW w:w="5000" w:type="pct"/>
        <w:shd w:val="clear" w:color="auto" w:fill="FFFFFF"/>
        <w:tblCellMar>
          <w:left w:w="0" w:type="dxa"/>
          <w:right w:w="0" w:type="dxa"/>
        </w:tblCellMar>
        <w:tblLook w:val="04A0"/>
      </w:tblPr>
      <w:tblGrid>
        <w:gridCol w:w="9072"/>
      </w:tblGrid>
      <w:tr w:rsidR="00D46C68" w:rsidTr="00D46C68">
        <w:tc>
          <w:tcPr>
            <w:tcW w:w="0" w:type="auto"/>
            <w:shd w:val="clear" w:color="auto" w:fill="FFFFFF"/>
            <w:vAlign w:val="center"/>
          </w:tcPr>
          <w:tbl>
            <w:tblPr>
              <w:tblW w:w="9000" w:type="dxa"/>
              <w:jc w:val="center"/>
              <w:tblCellMar>
                <w:left w:w="0" w:type="dxa"/>
                <w:right w:w="0" w:type="dxa"/>
              </w:tblCellMar>
              <w:tblLook w:val="04A0"/>
            </w:tblPr>
            <w:tblGrid>
              <w:gridCol w:w="9072"/>
            </w:tblGrid>
            <w:tr w:rsidR="00D46C68">
              <w:trPr>
                <w:jc w:val="center"/>
              </w:trPr>
              <w:tc>
                <w:tcPr>
                  <w:tcW w:w="0" w:type="auto"/>
                  <w:shd w:val="clear" w:color="auto" w:fill="FFFFFF"/>
                </w:tcPr>
                <w:tbl>
                  <w:tblPr>
                    <w:tblW w:w="5000" w:type="pct"/>
                    <w:jc w:val="center"/>
                    <w:tblCellMar>
                      <w:left w:w="0" w:type="dxa"/>
                      <w:right w:w="0" w:type="dxa"/>
                    </w:tblCellMar>
                    <w:tblLook w:val="04A0"/>
                  </w:tblPr>
                  <w:tblGrid>
                    <w:gridCol w:w="9072"/>
                  </w:tblGrid>
                  <w:tr w:rsidR="00D46C68">
                    <w:trPr>
                      <w:jc w:val="center"/>
                    </w:trPr>
                    <w:tc>
                      <w:tcPr>
                        <w:tcW w:w="0" w:type="auto"/>
                        <w:shd w:val="clear" w:color="auto" w:fill="FFFFFF"/>
                        <w:vAlign w:val="center"/>
                        <w:hideMark/>
                      </w:tcPr>
                      <w:tbl>
                        <w:tblPr>
                          <w:tblW w:w="5000" w:type="pct"/>
                          <w:tblCellMar>
                            <w:left w:w="0" w:type="dxa"/>
                            <w:right w:w="0" w:type="dxa"/>
                          </w:tblCellMar>
                          <w:tblLook w:val="04A0"/>
                        </w:tblPr>
                        <w:tblGrid>
                          <w:gridCol w:w="9072"/>
                        </w:tblGrid>
                        <w:tr w:rsidR="00D46C68">
                          <w:tc>
                            <w:tcPr>
                              <w:tcW w:w="5000" w:type="pct"/>
                              <w:hideMark/>
                            </w:tcPr>
                            <w:tbl>
                              <w:tblPr>
                                <w:tblW w:w="9000" w:type="dxa"/>
                                <w:tblCellMar>
                                  <w:left w:w="0" w:type="dxa"/>
                                  <w:right w:w="0" w:type="dxa"/>
                                </w:tblCellMar>
                                <w:tblLook w:val="04A0"/>
                              </w:tblPr>
                              <w:tblGrid>
                                <w:gridCol w:w="9000"/>
                              </w:tblGrid>
                              <w:tr w:rsidR="00D46C68">
                                <w:tc>
                                  <w:tcPr>
                                    <w:tcW w:w="0" w:type="auto"/>
                                    <w:vAlign w:val="center"/>
                                    <w:hideMark/>
                                  </w:tcPr>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vanish/>
                    </w:rPr>
                  </w:pPr>
                </w:p>
                <w:tbl>
                  <w:tblPr>
                    <w:tblW w:w="5000" w:type="pct"/>
                    <w:jc w:val="center"/>
                    <w:tblCellMar>
                      <w:left w:w="0" w:type="dxa"/>
                      <w:right w:w="0" w:type="dxa"/>
                    </w:tblCellMar>
                    <w:tblLook w:val="04A0"/>
                  </w:tblPr>
                  <w:tblGrid>
                    <w:gridCol w:w="9072"/>
                  </w:tblGrid>
                  <w:tr w:rsidR="00D46C68">
                    <w:trPr>
                      <w:jc w:val="center"/>
                    </w:trPr>
                    <w:tc>
                      <w:tcPr>
                        <w:tcW w:w="0" w:type="auto"/>
                        <w:shd w:val="clear" w:color="auto" w:fill="FFFFFF"/>
                        <w:tcMar>
                          <w:top w:w="300" w:type="dxa"/>
                          <w:left w:w="0" w:type="dxa"/>
                          <w:bottom w:w="375" w:type="dxa"/>
                          <w:right w:w="0" w:type="dxa"/>
                        </w:tcMar>
                        <w:vAlign w:val="center"/>
                        <w:hideMark/>
                      </w:tcPr>
                      <w:tbl>
                        <w:tblPr>
                          <w:tblW w:w="5000" w:type="pct"/>
                          <w:tblCellMar>
                            <w:left w:w="0" w:type="dxa"/>
                            <w:right w:w="0" w:type="dxa"/>
                          </w:tblCellMar>
                          <w:tblLook w:val="04A0"/>
                        </w:tblPr>
                        <w:tblGrid>
                          <w:gridCol w:w="9072"/>
                        </w:tblGrid>
                        <w:tr w:rsidR="00D46C68">
                          <w:tc>
                            <w:tcPr>
                              <w:tcW w:w="5000" w:type="pct"/>
                              <w:hideMark/>
                            </w:tcPr>
                            <w:tbl>
                              <w:tblPr>
                                <w:tblpPr w:vertAnchor="text"/>
                                <w:tblW w:w="3750" w:type="dxa"/>
                                <w:tblCellMar>
                                  <w:left w:w="0" w:type="dxa"/>
                                  <w:right w:w="0" w:type="dxa"/>
                                </w:tblCellMar>
                                <w:tblLook w:val="04A0"/>
                              </w:tblPr>
                              <w:tblGrid>
                                <w:gridCol w:w="3780"/>
                              </w:tblGrid>
                              <w:tr w:rsidR="00D46C68">
                                <w:tc>
                                  <w:tcPr>
                                    <w:tcW w:w="0" w:type="auto"/>
                                    <w:vAlign w:val="center"/>
                                    <w:hideMark/>
                                  </w:tcPr>
                                  <w:p w:rsidR="00D46C68" w:rsidRDefault="00D46C68">
                                    <w:pPr>
                                      <w:rPr>
                                        <w:rFonts w:eastAsia="Times New Roman"/>
                                      </w:rPr>
                                    </w:pPr>
                                    <w:r>
                                      <w:rPr>
                                        <w:rFonts w:eastAsia="Times New Roman"/>
                                        <w:noProof/>
                                      </w:rPr>
                                      <w:drawing>
                                        <wp:inline distT="0" distB="0" distL="0" distR="0">
                                          <wp:extent cx="2377440" cy="655320"/>
                                          <wp:effectExtent l="19050" t="0" r="3810" b="0"/>
                                          <wp:docPr id="1" name="Image 1"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Schweizerischen Blinden- und Sehbehindertenverbands"/>
                                                  <pic:cNvPicPr>
                                                    <a:picLocks noChangeAspect="1" noChangeArrowheads="1"/>
                                                  </pic:cNvPicPr>
                                                </pic:nvPicPr>
                                                <pic:blipFill>
                                                  <a:blip r:embed="rId5"/>
                                                  <a:srcRect/>
                                                  <a:stretch>
                                                    <a:fillRect/>
                                                  </a:stretch>
                                                </pic:blipFill>
                                                <pic:spPr bwMode="auto">
                                                  <a:xfrm>
                                                    <a:off x="0" y="0"/>
                                                    <a:ext cx="2377440" cy="655320"/>
                                                  </a:xfrm>
                                                  <a:prstGeom prst="rect">
                                                    <a:avLst/>
                                                  </a:prstGeom>
                                                  <a:noFill/>
                                                  <a:ln w="9525">
                                                    <a:noFill/>
                                                    <a:miter lim="800000"/>
                                                    <a:headEnd/>
                                                    <a:tailEnd/>
                                                  </a:ln>
                                                </pic:spPr>
                                              </pic:pic>
                                            </a:graphicData>
                                          </a:graphic>
                                        </wp:inline>
                                      </w:drawing>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vanish/>
                    </w:rPr>
                  </w:pPr>
                </w:p>
                <w:tbl>
                  <w:tblPr>
                    <w:tblW w:w="5000" w:type="pct"/>
                    <w:jc w:val="center"/>
                    <w:tblCellMar>
                      <w:left w:w="0" w:type="dxa"/>
                      <w:right w:w="0" w:type="dxa"/>
                    </w:tblCellMar>
                    <w:tblLook w:val="04A0"/>
                  </w:tblPr>
                  <w:tblGrid>
                    <w:gridCol w:w="9072"/>
                  </w:tblGrid>
                  <w:tr w:rsidR="00D46C68">
                    <w:trPr>
                      <w:jc w:val="center"/>
                    </w:trPr>
                    <w:tc>
                      <w:tcPr>
                        <w:tcW w:w="0" w:type="auto"/>
                        <w:shd w:val="clear" w:color="auto" w:fill="FFFFFF"/>
                        <w:tcMar>
                          <w:top w:w="0" w:type="dxa"/>
                          <w:left w:w="0" w:type="dxa"/>
                          <w:bottom w:w="180" w:type="dxa"/>
                          <w:right w:w="0" w:type="dxa"/>
                        </w:tcMar>
                        <w:vAlign w:val="center"/>
                        <w:hideMark/>
                      </w:tcPr>
                      <w:tbl>
                        <w:tblPr>
                          <w:tblW w:w="5000" w:type="pct"/>
                          <w:tblCellMar>
                            <w:left w:w="0" w:type="dxa"/>
                            <w:right w:w="0" w:type="dxa"/>
                          </w:tblCellMar>
                          <w:tblLook w:val="04A0"/>
                        </w:tblPr>
                        <w:tblGrid>
                          <w:gridCol w:w="9072"/>
                        </w:tblGrid>
                        <w:tr w:rsidR="00D46C68">
                          <w:tc>
                            <w:tcPr>
                              <w:tcW w:w="5000" w:type="pct"/>
                              <w:hideMark/>
                            </w:tcPr>
                            <w:tbl>
                              <w:tblPr>
                                <w:tblW w:w="5000" w:type="pct"/>
                                <w:tblCellMar>
                                  <w:left w:w="0" w:type="dxa"/>
                                  <w:right w:w="0" w:type="dxa"/>
                                </w:tblCellMar>
                                <w:tblLook w:val="04A0"/>
                              </w:tblPr>
                              <w:tblGrid>
                                <w:gridCol w:w="9072"/>
                              </w:tblGrid>
                              <w:tr w:rsidR="00D46C68">
                                <w:tc>
                                  <w:tcPr>
                                    <w:tcW w:w="0" w:type="auto"/>
                                    <w:hideMark/>
                                  </w:tcPr>
                                  <w:tbl>
                                    <w:tblPr>
                                      <w:tblW w:w="5000" w:type="pct"/>
                                      <w:tblCellMar>
                                        <w:left w:w="0" w:type="dxa"/>
                                        <w:right w:w="0" w:type="dxa"/>
                                      </w:tblCellMar>
                                      <w:tblLook w:val="04A0"/>
                                    </w:tblPr>
                                    <w:tblGrid>
                                      <w:gridCol w:w="9072"/>
                                    </w:tblGrid>
                                    <w:tr w:rsidR="00D46C68">
                                      <w:tc>
                                        <w:tcPr>
                                          <w:tcW w:w="0" w:type="auto"/>
                                          <w:vAlign w:val="center"/>
                                          <w:hideMark/>
                                        </w:tcPr>
                                        <w:tbl>
                                          <w:tblPr>
                                            <w:tblW w:w="9000" w:type="dxa"/>
                                            <w:jc w:val="center"/>
                                            <w:tblCellMar>
                                              <w:left w:w="0" w:type="dxa"/>
                                              <w:right w:w="0" w:type="dxa"/>
                                            </w:tblCellMar>
                                            <w:tblLook w:val="04A0"/>
                                          </w:tblPr>
                                          <w:tblGrid>
                                            <w:gridCol w:w="9072"/>
                                          </w:tblGrid>
                                          <w:tr w:rsidR="00D46C68">
                                            <w:trPr>
                                              <w:jc w:val="center"/>
                                            </w:trPr>
                                            <w:tc>
                                              <w:tcPr>
                                                <w:tcW w:w="0" w:type="auto"/>
                                                <w:vAlign w:val="center"/>
                                                <w:hideMark/>
                                              </w:tcPr>
                                              <w:p w:rsidR="00D46C68" w:rsidRDefault="00D46C68">
                                                <w:pPr>
                                                  <w:spacing w:after="180"/>
                                                  <w:rPr>
                                                    <w:rFonts w:eastAsia="Times New Roman"/>
                                                  </w:rPr>
                                                </w:pPr>
                                                <w:r>
                                                  <w:rPr>
                                                    <w:rFonts w:eastAsia="Times New Roman"/>
                                                    <w:noProof/>
                                                  </w:rPr>
                                                  <w:drawing>
                                                    <wp:inline distT="0" distB="0" distL="0" distR="0">
                                                      <wp:extent cx="5760720" cy="3241040"/>
                                                      <wp:effectExtent l="1905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5760720" cy="3241040"/>
                                                              </a:xfrm>
                                                              <a:prstGeom prst="rect">
                                                                <a:avLst/>
                                                              </a:prstGeom>
                                                              <a:noFill/>
                                                              <a:ln w="9525">
                                                                <a:noFill/>
                                                                <a:miter lim="800000"/>
                                                                <a:headEnd/>
                                                                <a:tailEnd/>
                                                              </a:ln>
                                                            </pic:spPr>
                                                          </pic:pic>
                                                        </a:graphicData>
                                                      </a:graphic>
                                                    </wp:inline>
                                                  </w:drawing>
                                                </w:r>
                                              </w:p>
                                            </w:tc>
                                          </w:tr>
                                        </w:tbl>
                                        <w:p w:rsidR="00D46C68" w:rsidRDefault="00D46C68">
                                          <w:pPr>
                                            <w:jc w:val="center"/>
                                            <w:rPr>
                                              <w:rFonts w:eastAsia="Times New Roman"/>
                                              <w:color w:val="auto"/>
                                              <w:sz w:val="20"/>
                                              <w:szCs w:val="20"/>
                                            </w:rPr>
                                          </w:pPr>
                                        </w:p>
                                      </w:tc>
                                    </w:tr>
                                    <w:tr w:rsidR="00D46C68">
                                      <w:tc>
                                        <w:tcPr>
                                          <w:tcW w:w="0" w:type="auto"/>
                                          <w:tcMar>
                                            <w:top w:w="225" w:type="dxa"/>
                                            <w:left w:w="0" w:type="dxa"/>
                                            <w:bottom w:w="0" w:type="dxa"/>
                                            <w:right w:w="0" w:type="dxa"/>
                                          </w:tcMar>
                                          <w:vAlign w:val="center"/>
                                          <w:hideMark/>
                                        </w:tcPr>
                                        <w:p w:rsidR="00D46C68" w:rsidRDefault="00D46C68">
                                          <w:pPr>
                                            <w:pStyle w:val="Titre1"/>
                                            <w:rPr>
                                              <w:rFonts w:ascii="Verdana" w:eastAsia="Times New Roman" w:hAnsi="Verdana"/>
                                              <w:sz w:val="63"/>
                                              <w:szCs w:val="63"/>
                                            </w:rPr>
                                          </w:pPr>
                                          <w:r>
                                            <w:rPr>
                                              <w:rFonts w:ascii="Verdana" w:eastAsia="Times New Roman" w:hAnsi="Verdana"/>
                                              <w:sz w:val="63"/>
                                              <w:szCs w:val="63"/>
                                            </w:rPr>
                                            <w:t>Initiative pour l’inclusion: le nouveau contre-projet déçoit une fois de plus</w:t>
                                          </w:r>
                                        </w:p>
                                        <w:p w:rsidR="00D46C68" w:rsidRDefault="00D46C68">
                                          <w:pPr>
                                            <w:pStyle w:val="NormalWeb"/>
                                            <w:rPr>
                                              <w:rFonts w:ascii="Verdana" w:hAnsi="Verdana"/>
                                              <w:sz w:val="30"/>
                                              <w:szCs w:val="30"/>
                                            </w:rPr>
                                          </w:pPr>
                                          <w:r>
                                            <w:rPr>
                                              <w:rFonts w:ascii="Verdana" w:hAnsi="Verdana"/>
                                              <w:sz w:val="30"/>
                                              <w:szCs w:val="30"/>
                                            </w:rPr>
                                            <w:t> </w:t>
                                          </w:r>
                                        </w:p>
                                      </w:tc>
                                    </w:tr>
                                    <w:tr w:rsidR="00D46C68">
                                      <w:tc>
                                        <w:tcPr>
                                          <w:tcW w:w="0" w:type="auto"/>
                                          <w:tcMar>
                                            <w:top w:w="0" w:type="dxa"/>
                                            <w:left w:w="0" w:type="dxa"/>
                                            <w:bottom w:w="225" w:type="dxa"/>
                                            <w:right w:w="0" w:type="dxa"/>
                                          </w:tcMar>
                                          <w:vAlign w:val="center"/>
                                        </w:tcPr>
                                        <w:p w:rsidR="00D46C68" w:rsidRDefault="00D46C68">
                                          <w:pPr>
                                            <w:pStyle w:val="NormalWeb"/>
                                            <w:rPr>
                                              <w:rFonts w:ascii="Verdana" w:hAnsi="Verdana"/>
                                              <w:sz w:val="30"/>
                                              <w:szCs w:val="30"/>
                                            </w:rPr>
                                          </w:pPr>
                                          <w:r>
                                            <w:rPr>
                                              <w:rFonts w:ascii="Verdana" w:hAnsi="Verdana"/>
                                              <w:sz w:val="30"/>
                                              <w:szCs w:val="30"/>
                                            </w:rPr>
                                            <w:t>Bonjour</w:t>
                                          </w:r>
                                          <w:proofErr w:type="gramStart"/>
                                          <w:r>
                                            <w:rPr>
                                              <w:rFonts w:ascii="Verdana" w:hAnsi="Verdana"/>
                                              <w:sz w:val="30"/>
                                              <w:szCs w:val="30"/>
                                            </w:rPr>
                                            <w:t>,</w:t>
                                          </w:r>
                                          <w:proofErr w:type="gramEnd"/>
                                          <w:r>
                                            <w:rPr>
                                              <w:rFonts w:ascii="Verdana" w:hAnsi="Verdana"/>
                                              <w:sz w:val="30"/>
                                              <w:szCs w:val="30"/>
                                            </w:rPr>
                                            <w:br/>
                                          </w:r>
                                          <w:r>
                                            <w:rPr>
                                              <w:rFonts w:ascii="Verdana" w:hAnsi="Verdana"/>
                                              <w:sz w:val="30"/>
                                              <w:szCs w:val="30"/>
                                            </w:rPr>
                                            <w:br/>
                                            <w:t>Le 25 février 2026, le Conseil fédéral a publié un nouveau contre-projet indirect à l’initiative pour l’inclusion. Force est de constater que la version remaniée reste, elle aussi, clairement en deçà des attentes, notamment en matière d’assistance et de logement. Dans sa version actuelle, le contre-projet ne constitue donc toujours pas une alternative acceptable à l’initiative pour l’inclusion.</w:t>
                                          </w:r>
                                        </w:p>
                                        <w:p w:rsidR="00D46C68" w:rsidRDefault="00D46C68">
                                          <w:pPr>
                                            <w:pStyle w:val="NormalWeb"/>
                                            <w:rPr>
                                              <w:rFonts w:ascii="Verdana" w:hAnsi="Verdana"/>
                                              <w:sz w:val="30"/>
                                              <w:szCs w:val="30"/>
                                            </w:rPr>
                                          </w:pPr>
                                        </w:p>
                                        <w:p w:rsidR="00D46C68" w:rsidRDefault="00D46C68">
                                          <w:pPr>
                                            <w:pStyle w:val="default"/>
                                            <w:rPr>
                                              <w:rFonts w:ascii="Verdana" w:hAnsi="Verdana"/>
                                              <w:sz w:val="30"/>
                                              <w:szCs w:val="30"/>
                                            </w:rPr>
                                          </w:pPr>
                                          <w:r>
                                            <w:rPr>
                                              <w:rFonts w:ascii="Verdana" w:hAnsi="Verdana"/>
                                              <w:sz w:val="30"/>
                                              <w:szCs w:val="30"/>
                                            </w:rPr>
                                            <w:t>Dès lors, il est d’autant plus important que nous continuions à nous mobiliser pour défendre nos revendications - à commencer par le 2 mai, à l’occasion de la grande manifestation pour l’égalité qui se tiendra à Zurich. Les organisateurs-</w:t>
                                          </w:r>
                                          <w:proofErr w:type="spellStart"/>
                                          <w:r>
                                            <w:rPr>
                                              <w:rFonts w:ascii="Verdana" w:hAnsi="Verdana"/>
                                              <w:sz w:val="30"/>
                                              <w:szCs w:val="30"/>
                                            </w:rPr>
                                            <w:t>trices</w:t>
                                          </w:r>
                                          <w:proofErr w:type="spellEnd"/>
                                          <w:r>
                                            <w:rPr>
                                              <w:rFonts w:ascii="Verdana" w:hAnsi="Verdana"/>
                                              <w:sz w:val="30"/>
                                              <w:szCs w:val="30"/>
                                            </w:rPr>
                                            <w:t xml:space="preserve"> ont préparé un programme varié, avec discours, stands d’information, musique et danse, et proposent à tous les participants et participantes un service d’accompagnement et d’assistance. Et bien entendu, l’accessibilité sera garantie sur les lieux de la manifestation. </w:t>
                                          </w:r>
                                        </w:p>
                                        <w:p w:rsidR="00D46C68" w:rsidRDefault="00D46C68">
                                          <w:pPr>
                                            <w:pStyle w:val="default"/>
                                            <w:rPr>
                                              <w:rFonts w:ascii="Verdana" w:hAnsi="Verdana"/>
                                              <w:sz w:val="30"/>
                                              <w:szCs w:val="30"/>
                                            </w:rPr>
                                          </w:pPr>
                                        </w:p>
                                        <w:p w:rsidR="00D46C68" w:rsidRDefault="00D46C68">
                                          <w:pPr>
                                            <w:pStyle w:val="default"/>
                                            <w:rPr>
                                              <w:rFonts w:ascii="Verdana" w:hAnsi="Verdana"/>
                                              <w:sz w:val="30"/>
                                              <w:szCs w:val="30"/>
                                            </w:rPr>
                                          </w:pPr>
                                          <w:r>
                                            <w:rPr>
                                              <w:rFonts w:ascii="Verdana" w:hAnsi="Verdana"/>
                                              <w:sz w:val="30"/>
                                              <w:szCs w:val="30"/>
                                            </w:rPr>
                                            <w:t>Mais il y aussi de bonnes nouvelles: notre équipe T&amp;I a été choisie par l’Office fédéral de l’informatique et de la télécommunication (</w:t>
                                          </w:r>
                                          <w:proofErr w:type="spellStart"/>
                                          <w:r>
                                            <w:rPr>
                                              <w:rFonts w:ascii="Verdana" w:hAnsi="Verdana"/>
                                              <w:sz w:val="30"/>
                                              <w:szCs w:val="30"/>
                                            </w:rPr>
                                            <w:t>OFIT</w:t>
                                          </w:r>
                                          <w:proofErr w:type="spellEnd"/>
                                          <w:r>
                                            <w:rPr>
                                              <w:rFonts w:ascii="Verdana" w:hAnsi="Verdana"/>
                                              <w:sz w:val="30"/>
                                              <w:szCs w:val="30"/>
                                            </w:rPr>
                                            <w:t>) pour tester l’accessibilité numérique de la nouvelle carte d’identité électronique nationale (e-ID). Enfin, pour terminer cette newsletter, les férus de jeux pourront découvrir en exclusivité un jeu de labyrinthe accessible sans barrières, développé par nos stagiaires T&amp;I.</w:t>
                                          </w:r>
                                        </w:p>
                                        <w:p w:rsidR="00D46C68" w:rsidRDefault="00D46C68">
                                          <w:pPr>
                                            <w:pStyle w:val="default"/>
                                            <w:rPr>
                                              <w:rFonts w:ascii="Verdana" w:hAnsi="Verdana"/>
                                              <w:sz w:val="30"/>
                                              <w:szCs w:val="30"/>
                                            </w:rPr>
                                          </w:pPr>
                                        </w:p>
                                        <w:p w:rsidR="00D46C68" w:rsidRDefault="00D46C68">
                                          <w:pPr>
                                            <w:pStyle w:val="default"/>
                                            <w:rPr>
                                              <w:rFonts w:ascii="Verdana" w:hAnsi="Verdana"/>
                                              <w:sz w:val="30"/>
                                              <w:szCs w:val="30"/>
                                            </w:rPr>
                                          </w:pPr>
                                          <w:r>
                                            <w:rPr>
                                              <w:rFonts w:ascii="Verdana" w:hAnsi="Verdana"/>
                                              <w:sz w:val="30"/>
                                              <w:szCs w:val="30"/>
                                            </w:rPr>
                                            <w:t>Nous vous souhaitons bien du plaisir et une lecture divertissante.</w:t>
                                          </w:r>
                                        </w:p>
                                        <w:p w:rsidR="00D46C68" w:rsidRDefault="00D46C68">
                                          <w:pPr>
                                            <w:pStyle w:val="default"/>
                                            <w:rPr>
                                              <w:rFonts w:ascii="Verdana" w:hAnsi="Verdana"/>
                                              <w:sz w:val="30"/>
                                              <w:szCs w:val="30"/>
                                            </w:rPr>
                                          </w:pPr>
                                          <w:r>
                                            <w:rPr>
                                              <w:rFonts w:ascii="Verdana" w:hAnsi="Verdana"/>
                                              <w:sz w:val="30"/>
                                              <w:szCs w:val="30"/>
                                            </w:rPr>
                                            <w:t> </w:t>
                                          </w:r>
                                        </w:p>
                                        <w:p w:rsidR="00D46C68" w:rsidRDefault="00D46C68">
                                          <w:pPr>
                                            <w:pStyle w:val="default"/>
                                            <w:rPr>
                                              <w:rFonts w:ascii="Verdana" w:hAnsi="Verdana"/>
                                              <w:sz w:val="30"/>
                                              <w:szCs w:val="30"/>
                                            </w:rPr>
                                          </w:pPr>
                                          <w:r>
                                            <w:rPr>
                                              <w:rFonts w:ascii="Verdana" w:hAnsi="Verdana"/>
                                              <w:sz w:val="30"/>
                                              <w:szCs w:val="30"/>
                                            </w:rPr>
                                            <w:t>Cordiales salutations </w:t>
                                          </w:r>
                                        </w:p>
                                        <w:p w:rsidR="00D46C68" w:rsidRDefault="00D46C68">
                                          <w:pPr>
                                            <w:pStyle w:val="default"/>
                                            <w:rPr>
                                              <w:rFonts w:ascii="Verdana" w:hAnsi="Verdana"/>
                                              <w:sz w:val="30"/>
                                              <w:szCs w:val="30"/>
                                            </w:rPr>
                                          </w:pPr>
                                          <w:r>
                                            <w:rPr>
                                              <w:rFonts w:ascii="Verdana" w:hAnsi="Verdana"/>
                                              <w:sz w:val="30"/>
                                              <w:szCs w:val="30"/>
                                            </w:rPr>
                                            <w:t>L’équipe de rédaction </w:t>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vanish/>
                    </w:rPr>
                  </w:pPr>
                </w:p>
                <w:tbl>
                  <w:tblPr>
                    <w:tblW w:w="5000" w:type="pct"/>
                    <w:jc w:val="center"/>
                    <w:tblCellMar>
                      <w:left w:w="0" w:type="dxa"/>
                      <w:right w:w="0" w:type="dxa"/>
                    </w:tblCellMar>
                    <w:tblLook w:val="04A0"/>
                  </w:tblPr>
                  <w:tblGrid>
                    <w:gridCol w:w="9072"/>
                  </w:tblGrid>
                  <w:tr w:rsidR="00D46C68">
                    <w:trPr>
                      <w:trHeight w:val="360"/>
                      <w:jc w:val="center"/>
                    </w:trPr>
                    <w:tc>
                      <w:tcPr>
                        <w:tcW w:w="0" w:type="auto"/>
                        <w:vAlign w:val="center"/>
                        <w:hideMark/>
                      </w:tcPr>
                      <w:p w:rsidR="00D46C68" w:rsidRDefault="00D46C68">
                        <w:pPr>
                          <w:spacing w:line="450" w:lineRule="exact"/>
                          <w:rPr>
                            <w:rFonts w:eastAsia="Times New Roman"/>
                            <w:sz w:val="45"/>
                            <w:szCs w:val="45"/>
                          </w:rPr>
                        </w:pPr>
                        <w:r>
                          <w:rPr>
                            <w:rFonts w:eastAsia="Times New Roman"/>
                            <w:sz w:val="45"/>
                            <w:szCs w:val="45"/>
                          </w:rPr>
                          <w:softHyphen/>
                        </w:r>
                      </w:p>
                    </w:tc>
                  </w:tr>
                  <w:tr w:rsidR="00D46C68">
                    <w:trPr>
                      <w:jc w:val="center"/>
                    </w:trPr>
                    <w:tc>
                      <w:tcPr>
                        <w:tcW w:w="0" w:type="auto"/>
                        <w:shd w:val="clear" w:color="auto" w:fill="FFFFFF"/>
                        <w:vAlign w:val="center"/>
                        <w:hideMark/>
                      </w:tcPr>
                      <w:tbl>
                        <w:tblPr>
                          <w:tblW w:w="5000" w:type="pct"/>
                          <w:tblCellMar>
                            <w:left w:w="0" w:type="dxa"/>
                            <w:right w:w="0" w:type="dxa"/>
                          </w:tblCellMar>
                          <w:tblLook w:val="04A0"/>
                        </w:tblPr>
                        <w:tblGrid>
                          <w:gridCol w:w="9072"/>
                        </w:tblGrid>
                        <w:tr w:rsidR="00D46C68">
                          <w:tc>
                            <w:tcPr>
                              <w:tcW w:w="5000" w:type="pct"/>
                              <w:hideMark/>
                            </w:tcPr>
                            <w:tbl>
                              <w:tblPr>
                                <w:tblW w:w="5000" w:type="pct"/>
                                <w:tblCellMar>
                                  <w:left w:w="0" w:type="dxa"/>
                                  <w:right w:w="0" w:type="dxa"/>
                                </w:tblCellMar>
                                <w:tblLook w:val="04A0"/>
                              </w:tblPr>
                              <w:tblGrid>
                                <w:gridCol w:w="9072"/>
                              </w:tblGrid>
                              <w:tr w:rsidR="00D46C68">
                                <w:tc>
                                  <w:tcPr>
                                    <w:tcW w:w="0" w:type="auto"/>
                                    <w:hideMark/>
                                  </w:tcPr>
                                  <w:tbl>
                                    <w:tblPr>
                                      <w:tblW w:w="5000" w:type="pct"/>
                                      <w:tblCellMar>
                                        <w:left w:w="0" w:type="dxa"/>
                                        <w:right w:w="0" w:type="dxa"/>
                                      </w:tblCellMar>
                                      <w:tblLook w:val="04A0"/>
                                    </w:tblPr>
                                    <w:tblGrid>
                                      <w:gridCol w:w="9072"/>
                                    </w:tblGrid>
                                    <w:tr w:rsidR="00D46C68">
                                      <w:tc>
                                        <w:tcPr>
                                          <w:tcW w:w="0" w:type="auto"/>
                                          <w:vAlign w:val="center"/>
                                          <w:hideMark/>
                                        </w:tcPr>
                                        <w:tbl>
                                          <w:tblPr>
                                            <w:tblW w:w="5000" w:type="pct"/>
                                            <w:tblCellMar>
                                              <w:left w:w="0" w:type="dxa"/>
                                              <w:right w:w="0" w:type="dxa"/>
                                            </w:tblCellMar>
                                            <w:tblLook w:val="04A0"/>
                                          </w:tblPr>
                                          <w:tblGrid>
                                            <w:gridCol w:w="9072"/>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Initiative pour l’inclusion: le nouveau contre-projet du Conseil fédéral reste largement en deçà des attentes</w:t>
                                                </w:r>
                                              </w:p>
                                            </w:tc>
                                          </w:tr>
                                          <w:tr w:rsidR="00D46C68">
                                            <w:trPr>
                                              <w:trHeight w:val="60"/>
                                            </w:trPr>
                                            <w:tc>
                                              <w:tcPr>
                                                <w:tcW w:w="0" w:type="auto"/>
                                                <w:vAlign w:val="center"/>
                                                <w:hideMark/>
                                              </w:tcPr>
                                              <w:p w:rsidR="00D46C68" w:rsidRDefault="00D46C68">
                                                <w:pPr>
                                                  <w:spacing w:line="75" w:lineRule="exact"/>
                                                  <w:rPr>
                                                    <w:rFonts w:eastAsia="Times New Roman"/>
                                                    <w:sz w:val="8"/>
                                                    <w:szCs w:val="8"/>
                                                  </w:rPr>
                                                </w:pPr>
                                                <w:r>
                                                  <w:rPr>
                                                    <w:rFonts w:eastAsia="Times New Roman"/>
                                                    <w:sz w:val="8"/>
                                                    <w:szCs w:val="8"/>
                                                  </w:rPr>
                                                  <w:softHyphen/>
                                                </w:r>
                                              </w:p>
                                            </w:tc>
                                          </w:tr>
                                        </w:tbl>
                                        <w:p w:rsidR="00D46C68" w:rsidRDefault="00D46C68">
                                          <w:pPr>
                                            <w:rPr>
                                              <w:rFonts w:eastAsia="Times New Roman"/>
                                              <w:color w:val="auto"/>
                                              <w:sz w:val="20"/>
                                              <w:szCs w:val="20"/>
                                            </w:rPr>
                                          </w:pPr>
                                        </w:p>
                                      </w:tc>
                                    </w:tr>
                                    <w:tr w:rsidR="00D46C68">
                                      <w:tc>
                                        <w:tcPr>
                                          <w:tcW w:w="0" w:type="auto"/>
                                          <w:vAlign w:val="center"/>
                                          <w:hideMark/>
                                        </w:tcPr>
                                        <w:tbl>
                                          <w:tblPr>
                                            <w:tblW w:w="5000" w:type="pct"/>
                                            <w:tblCellMar>
                                              <w:left w:w="0" w:type="dxa"/>
                                              <w:right w:w="0" w:type="dxa"/>
                                            </w:tblCellMar>
                                            <w:tblLook w:val="04A0"/>
                                          </w:tblPr>
                                          <w:tblGrid>
                                            <w:gridCol w:w="9072"/>
                                          </w:tblGrid>
                                          <w:tr w:rsidR="00D46C68">
                                            <w:tc>
                                              <w:tcPr>
                                                <w:tcW w:w="0" w:type="auto"/>
                                                <w:hideMark/>
                                              </w:tcPr>
                                              <w:p w:rsidR="00D46C68" w:rsidRDefault="00D46C68">
                                                <w:pPr>
                                                  <w:pStyle w:val="default"/>
                                                  <w:rPr>
                                                    <w:rFonts w:ascii="Atkinson Hyperlegible" w:hAnsi="Atkinson Hyperlegible"/>
                                                    <w:sz w:val="30"/>
                                                    <w:szCs w:val="30"/>
                                                  </w:rPr>
                                                </w:pPr>
                                                <w:r>
                                                  <w:rPr>
                                                    <w:rFonts w:ascii="Atkinson Hyperlegible" w:hAnsi="Atkinson Hyperlegible"/>
                                                    <w:sz w:val="30"/>
                                                    <w:szCs w:val="30"/>
                                                  </w:rPr>
                                                  <w:t>Le Conseil fédéral a publié son nouveau contre-projet indirect à l’initiative pour l’inclusion. Force est de constater que la version remaniée reste, elle aussi, clairement en deçà des attentes, notamment en ce qui concerne l’accès à l’assistance et le logement autodéterminé.  Dans sa forme actuelle, le contre-projet ne constitue toujours pas une alternative à l'initiative pour l'inclusion.</w:t>
                                                </w:r>
                                              </w:p>
                                              <w:p w:rsidR="00D46C68" w:rsidRDefault="00D46C68">
                                                <w:pPr>
                                                  <w:pStyle w:val="NormalWeb"/>
                                                  <w:rPr>
                                                    <w:rFonts w:ascii="Atkinson Hyperlegible" w:hAnsi="Atkinson Hyperlegible"/>
                                                    <w:sz w:val="30"/>
                                                    <w:szCs w:val="30"/>
                                                  </w:rPr>
                                                </w:pPr>
                                                <w:r>
                                                  <w:rPr>
                                                    <w:rFonts w:ascii="Atkinson Hyperlegible" w:hAnsi="Atkinson Hyperlegible"/>
                                                    <w:sz w:val="30"/>
                                                    <w:szCs w:val="30"/>
                                                  </w:rPr>
                                                  <w:lastRenderedPageBreak/>
                                                  <w:t> </w:t>
                                                </w:r>
                                              </w:p>
                                              <w:p w:rsidR="00D46C68" w:rsidRDefault="00D46C68">
                                                <w:pPr>
                                                  <w:pStyle w:val="NormalWeb"/>
                                                  <w:rPr>
                                                    <w:rFonts w:ascii="Atkinson Hyperlegible" w:hAnsi="Atkinson Hyperlegible"/>
                                                    <w:sz w:val="30"/>
                                                    <w:szCs w:val="30"/>
                                                  </w:rPr>
                                                </w:pPr>
                                                <w:hyperlink r:id="rId7" w:tgtFrame="_blank" w:tooltip="Vers l'article " w:history="1">
                                                  <w:r>
                                                    <w:rPr>
                                                      <w:rStyle w:val="Lienhypertexte"/>
                                                      <w:rFonts w:ascii="Atkinson Hyperlegible" w:hAnsi="Atkinson Hyperlegible"/>
                                                      <w:sz w:val="30"/>
                                                      <w:szCs w:val="30"/>
                                                    </w:rPr>
                                                    <w:t>Vers l'article</w:t>
                                                  </w:r>
                                                </w:hyperlink>
                                              </w:p>
                                            </w:tc>
                                          </w:tr>
                                          <w:tr w:rsidR="00D46C68">
                                            <w:trPr>
                                              <w:trHeight w:val="180"/>
                                            </w:trPr>
                                            <w:tc>
                                              <w:tcPr>
                                                <w:tcW w:w="0" w:type="auto"/>
                                                <w:vAlign w:val="center"/>
                                                <w:hideMark/>
                                              </w:tcPr>
                                              <w:p w:rsidR="00D46C68" w:rsidRDefault="00D46C68">
                                                <w:pPr>
                                                  <w:spacing w:line="225" w:lineRule="exact"/>
                                                  <w:rPr>
                                                    <w:rFonts w:eastAsia="Times New Roman"/>
                                                    <w:sz w:val="23"/>
                                                    <w:szCs w:val="23"/>
                                                  </w:rPr>
                                                </w:pPr>
                                                <w:r>
                                                  <w:rPr>
                                                    <w:rFonts w:eastAsia="Times New Roman"/>
                                                    <w:sz w:val="23"/>
                                                    <w:szCs w:val="23"/>
                                                  </w:rPr>
                                                  <w:lastRenderedPageBreak/>
                                                  <w:softHyphen/>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vanish/>
                    </w:rPr>
                  </w:pPr>
                </w:p>
                <w:tbl>
                  <w:tblPr>
                    <w:tblW w:w="5000" w:type="pct"/>
                    <w:jc w:val="center"/>
                    <w:tblCellMar>
                      <w:left w:w="0" w:type="dxa"/>
                      <w:right w:w="0" w:type="dxa"/>
                    </w:tblCellMar>
                    <w:tblLook w:val="04A0"/>
                  </w:tblPr>
                  <w:tblGrid>
                    <w:gridCol w:w="9072"/>
                  </w:tblGrid>
                  <w:tr w:rsidR="00D46C68">
                    <w:trPr>
                      <w:trHeight w:val="348"/>
                      <w:jc w:val="center"/>
                    </w:trPr>
                    <w:tc>
                      <w:tcPr>
                        <w:tcW w:w="0" w:type="auto"/>
                        <w:vAlign w:val="center"/>
                        <w:hideMark/>
                      </w:tcPr>
                      <w:p w:rsidR="00D46C68" w:rsidRDefault="00D46C68">
                        <w:pPr>
                          <w:spacing w:line="435" w:lineRule="exact"/>
                          <w:rPr>
                            <w:rFonts w:eastAsia="Times New Roman"/>
                            <w:sz w:val="44"/>
                            <w:szCs w:val="44"/>
                          </w:rPr>
                        </w:pPr>
                        <w:r>
                          <w:rPr>
                            <w:rFonts w:eastAsia="Times New Roman"/>
                            <w:sz w:val="44"/>
                            <w:szCs w:val="44"/>
                          </w:rPr>
                          <w:softHyphen/>
                        </w:r>
                      </w:p>
                    </w:tc>
                  </w:tr>
                  <w:tr w:rsidR="00D46C68">
                    <w:trPr>
                      <w:jc w:val="center"/>
                    </w:trPr>
                    <w:tc>
                      <w:tcPr>
                        <w:tcW w:w="0" w:type="auto"/>
                        <w:shd w:val="clear" w:color="auto" w:fill="FFFFFF"/>
                        <w:vAlign w:val="center"/>
                        <w:hideMark/>
                      </w:tcPr>
                      <w:tbl>
                        <w:tblPr>
                          <w:tblW w:w="5000" w:type="pct"/>
                          <w:tblCellMar>
                            <w:left w:w="0" w:type="dxa"/>
                            <w:right w:w="0" w:type="dxa"/>
                          </w:tblCellMar>
                          <w:tblLook w:val="04A0"/>
                        </w:tblPr>
                        <w:tblGrid>
                          <w:gridCol w:w="6042"/>
                          <w:gridCol w:w="3030"/>
                        </w:tblGrid>
                        <w:tr w:rsidR="00D46C68">
                          <w:tc>
                            <w:tcPr>
                              <w:tcW w:w="3300" w:type="pct"/>
                              <w:hideMark/>
                            </w:tcPr>
                            <w:tbl>
                              <w:tblPr>
                                <w:tblW w:w="5000" w:type="pct"/>
                                <w:tblCellMar>
                                  <w:left w:w="0" w:type="dxa"/>
                                  <w:right w:w="0" w:type="dxa"/>
                                </w:tblCellMar>
                                <w:tblLook w:val="04A0"/>
                              </w:tblPr>
                              <w:tblGrid>
                                <w:gridCol w:w="6042"/>
                              </w:tblGrid>
                              <w:tr w:rsidR="00D46C68">
                                <w:tc>
                                  <w:tcPr>
                                    <w:tcW w:w="0" w:type="auto"/>
                                    <w:hideMark/>
                                  </w:tcPr>
                                  <w:tbl>
                                    <w:tblPr>
                                      <w:tblW w:w="5000" w:type="pct"/>
                                      <w:tblCellMar>
                                        <w:left w:w="0" w:type="dxa"/>
                                        <w:right w:w="0" w:type="dxa"/>
                                      </w:tblCellMar>
                                      <w:tblLook w:val="04A0"/>
                                    </w:tblPr>
                                    <w:tblGrid>
                                      <w:gridCol w:w="6042"/>
                                    </w:tblGrid>
                                    <w:tr w:rsidR="00D46C68">
                                      <w:tc>
                                        <w:tcPr>
                                          <w:tcW w:w="0" w:type="auto"/>
                                          <w:vAlign w:val="center"/>
                                          <w:hideMark/>
                                        </w:tcPr>
                                        <w:tbl>
                                          <w:tblPr>
                                            <w:tblW w:w="5000" w:type="pct"/>
                                            <w:tblCellMar>
                                              <w:left w:w="0" w:type="dxa"/>
                                              <w:right w:w="0" w:type="dxa"/>
                                            </w:tblCellMar>
                                            <w:tblLook w:val="04A0"/>
                                          </w:tblPr>
                                          <w:tblGrid>
                                            <w:gridCol w:w="6042"/>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 xml:space="preserve">Accessibilité numérique: la </w:t>
                                                </w:r>
                                                <w:proofErr w:type="spellStart"/>
                                                <w:r>
                                                  <w:rPr>
                                                    <w:rFonts w:ascii="Atkinson Hyperlegible" w:eastAsia="Times New Roman" w:hAnsi="Atkinson Hyperlegible"/>
                                                    <w:sz w:val="42"/>
                                                    <w:szCs w:val="42"/>
                                                  </w:rPr>
                                                  <w:t>fsa</w:t>
                                                </w:r>
                                                <w:proofErr w:type="spellEnd"/>
                                                <w:r>
                                                  <w:rPr>
                                                    <w:rFonts w:ascii="Atkinson Hyperlegible" w:eastAsia="Times New Roman" w:hAnsi="Atkinson Hyperlegible"/>
                                                    <w:sz w:val="42"/>
                                                    <w:szCs w:val="42"/>
                                                  </w:rPr>
                                                  <w:t xml:space="preserve"> teste l’application pour l’utilisation et la gestion de l’e-ID</w:t>
                                                </w:r>
                                              </w:p>
                                            </w:tc>
                                          </w:tr>
                                          <w:tr w:rsidR="00D46C68">
                                            <w:trPr>
                                              <w:trHeight w:val="60"/>
                                            </w:trPr>
                                            <w:tc>
                                              <w:tcPr>
                                                <w:tcW w:w="0" w:type="auto"/>
                                                <w:vAlign w:val="center"/>
                                                <w:hideMark/>
                                              </w:tcPr>
                                              <w:p w:rsidR="00D46C68" w:rsidRDefault="00D46C68">
                                                <w:pPr>
                                                  <w:spacing w:line="75" w:lineRule="exact"/>
                                                  <w:rPr>
                                                    <w:rFonts w:eastAsia="Times New Roman"/>
                                                    <w:sz w:val="8"/>
                                                    <w:szCs w:val="8"/>
                                                  </w:rPr>
                                                </w:pPr>
                                                <w:r>
                                                  <w:rPr>
                                                    <w:rFonts w:eastAsia="Times New Roman"/>
                                                    <w:sz w:val="8"/>
                                                    <w:szCs w:val="8"/>
                                                  </w:rPr>
                                                  <w:softHyphen/>
                                                </w:r>
                                              </w:p>
                                            </w:tc>
                                          </w:tr>
                                        </w:tbl>
                                        <w:p w:rsidR="00D46C68" w:rsidRDefault="00D46C68">
                                          <w:pPr>
                                            <w:rPr>
                                              <w:rFonts w:eastAsia="Times New Roman"/>
                                              <w:color w:val="auto"/>
                                              <w:sz w:val="20"/>
                                              <w:szCs w:val="20"/>
                                            </w:rPr>
                                          </w:pPr>
                                        </w:p>
                                      </w:tc>
                                    </w:tr>
                                    <w:tr w:rsidR="00D46C68">
                                      <w:tc>
                                        <w:tcPr>
                                          <w:tcW w:w="0" w:type="auto"/>
                                          <w:vAlign w:val="center"/>
                                          <w:hideMark/>
                                        </w:tcPr>
                                        <w:tbl>
                                          <w:tblPr>
                                            <w:tblW w:w="5000" w:type="pct"/>
                                            <w:tblCellMar>
                                              <w:left w:w="0" w:type="dxa"/>
                                              <w:right w:w="0" w:type="dxa"/>
                                            </w:tblCellMar>
                                            <w:tblLook w:val="04A0"/>
                                          </w:tblPr>
                                          <w:tblGrid>
                                            <w:gridCol w:w="6042"/>
                                          </w:tblGrid>
                                          <w:tr w:rsidR="00D46C68">
                                            <w:tc>
                                              <w:tcPr>
                                                <w:tcW w:w="0" w:type="auto"/>
                                                <w:hideMark/>
                                              </w:tcPr>
                                              <w:p w:rsidR="00D46C68" w:rsidRDefault="00D46C68">
                                                <w:pPr>
                                                  <w:pStyle w:val="default"/>
                                                  <w:rPr>
                                                    <w:rFonts w:ascii="Atkinson Hyperlegible" w:hAnsi="Atkinson Hyperlegible"/>
                                                    <w:sz w:val="30"/>
                                                    <w:szCs w:val="30"/>
                                                  </w:rPr>
                                                </w:pPr>
                                                <w:r>
                                                  <w:rPr>
                                                    <w:rFonts w:ascii="Atkinson Hyperlegible" w:hAnsi="Atkinson Hyperlegible"/>
                                                    <w:sz w:val="30"/>
                                                    <w:szCs w:val="30"/>
                                                  </w:rPr>
                                                  <w:t xml:space="preserve">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a été choisie pour tester la nouvelle e-ID nationale sous l'angle de l'accessibilité numérique. Au cœur du projet figure l'application </w:t>
                                                </w:r>
                                                <w:proofErr w:type="spellStart"/>
                                                <w:r>
                                                  <w:rPr>
                                                    <w:rFonts w:ascii="Atkinson Hyperlegible" w:hAnsi="Atkinson Hyperlegible"/>
                                                    <w:sz w:val="30"/>
                                                    <w:szCs w:val="30"/>
                                                  </w:rPr>
                                                  <w:t>swiyu</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Wallet</w:t>
                                                </w:r>
                                                <w:proofErr w:type="spellEnd"/>
                                                <w:r>
                                                  <w:rPr>
                                                    <w:rFonts w:ascii="Atkinson Hyperlegible" w:hAnsi="Atkinson Hyperlegible"/>
                                                    <w:sz w:val="30"/>
                                                    <w:szCs w:val="30"/>
                                                  </w:rPr>
                                                  <w:t xml:space="preserve"> permettant l’utilisation et la gestion de l'identité électronique (e-ID). Les résultats seront communiqués à l'Office fédéral de l'informatique et de la télécommunication (</w:t>
                                                </w:r>
                                                <w:proofErr w:type="spellStart"/>
                                                <w:r>
                                                  <w:rPr>
                                                    <w:rFonts w:ascii="Atkinson Hyperlegible" w:hAnsi="Atkinson Hyperlegible"/>
                                                    <w:sz w:val="30"/>
                                                    <w:szCs w:val="30"/>
                                                  </w:rPr>
                                                  <w:t>OFIT</w:t>
                                                </w:r>
                                                <w:proofErr w:type="spellEnd"/>
                                                <w:r>
                                                  <w:rPr>
                                                    <w:rFonts w:ascii="Atkinson Hyperlegible" w:hAnsi="Atkinson Hyperlegible"/>
                                                    <w:sz w:val="30"/>
                                                    <w:szCs w:val="30"/>
                                                  </w:rPr>
                                                  <w:t>) d'ici fin 2026. L'objectif est de garantir que l'e-ID puisse être utilisée de manière autonome et fiable par le plus grand nombre possible de personnes aveugles et malvoyantes dès son introduction.</w:t>
                                                </w:r>
                                              </w:p>
                                              <w:p w:rsidR="00D46C68" w:rsidRDefault="00D46C68">
                                                <w:pPr>
                                                  <w:pStyle w:val="NormalWeb"/>
                                                  <w:rPr>
                                                    <w:rFonts w:ascii="Atkinson Hyperlegible" w:hAnsi="Atkinson Hyperlegible"/>
                                                    <w:sz w:val="30"/>
                                                    <w:szCs w:val="30"/>
                                                  </w:rPr>
                                                </w:pPr>
                                                <w:r>
                                                  <w:rPr>
                                                    <w:rFonts w:ascii="Atkinson Hyperlegible" w:hAnsi="Atkinson Hyperlegible"/>
                                                    <w:sz w:val="30"/>
                                                    <w:szCs w:val="30"/>
                                                  </w:rPr>
                                                  <w:t> </w:t>
                                                </w:r>
                                              </w:p>
                                              <w:p w:rsidR="00D46C68" w:rsidRDefault="00D46C68">
                                                <w:pPr>
                                                  <w:pStyle w:val="default"/>
                                                  <w:rPr>
                                                    <w:rFonts w:ascii="Atkinson Hyperlegible" w:hAnsi="Atkinson Hyperlegible"/>
                                                    <w:sz w:val="30"/>
                                                    <w:szCs w:val="30"/>
                                                  </w:rPr>
                                                </w:pPr>
                                                <w:hyperlink r:id="rId8" w:tgtFrame="_blank" w:tooltip="Vers l'article " w:history="1">
                                                  <w:r>
                                                    <w:rPr>
                                                      <w:rStyle w:val="Lienhypertexte"/>
                                                      <w:rFonts w:ascii="Atkinson Hyperlegible" w:hAnsi="Atkinson Hyperlegible"/>
                                                      <w:sz w:val="30"/>
                                                      <w:szCs w:val="30"/>
                                                    </w:rPr>
                                                    <w:t>Vers l'article</w:t>
                                                  </w:r>
                                                </w:hyperlink>
                                              </w:p>
                                            </w:tc>
                                          </w:tr>
                                          <w:tr w:rsidR="00D46C68">
                                            <w:trPr>
                                              <w:trHeight w:val="180"/>
                                            </w:trPr>
                                            <w:tc>
                                              <w:tcPr>
                                                <w:tcW w:w="0" w:type="auto"/>
                                                <w:vAlign w:val="center"/>
                                                <w:hideMark/>
                                              </w:tcPr>
                                              <w:p w:rsidR="00D46C68" w:rsidRDefault="00D46C68">
                                                <w:pPr>
                                                  <w:spacing w:line="225" w:lineRule="exact"/>
                                                  <w:rPr>
                                                    <w:rFonts w:eastAsia="Times New Roman"/>
                                                    <w:sz w:val="23"/>
                                                    <w:szCs w:val="23"/>
                                                  </w:rPr>
                                                </w:pPr>
                                                <w:r>
                                                  <w:rPr>
                                                    <w:rFonts w:eastAsia="Times New Roman"/>
                                                    <w:sz w:val="23"/>
                                                    <w:szCs w:val="23"/>
                                                  </w:rPr>
                                                  <w:softHyphen/>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D46C68">
                                <w:tc>
                                  <w:tcPr>
                                    <w:tcW w:w="0" w:type="auto"/>
                                    <w:hideMark/>
                                  </w:tcPr>
                                  <w:tbl>
                                    <w:tblPr>
                                      <w:tblW w:w="5000" w:type="pct"/>
                                      <w:tblCellMar>
                                        <w:left w:w="0" w:type="dxa"/>
                                        <w:right w:w="0" w:type="dxa"/>
                                      </w:tblCellMar>
                                      <w:tblLook w:val="04A0"/>
                                    </w:tblPr>
                                    <w:tblGrid>
                                      <w:gridCol w:w="3030"/>
                                    </w:tblGrid>
                                    <w:tr w:rsidR="00D46C68">
                                      <w:tc>
                                        <w:tcPr>
                                          <w:tcW w:w="0" w:type="auto"/>
                                          <w:vAlign w:val="center"/>
                                          <w:hideMark/>
                                        </w:tcPr>
                                        <w:tbl>
                                          <w:tblPr>
                                            <w:tblW w:w="2985" w:type="dxa"/>
                                            <w:tblCellMar>
                                              <w:left w:w="0" w:type="dxa"/>
                                              <w:right w:w="0" w:type="dxa"/>
                                            </w:tblCellMar>
                                            <w:tblLook w:val="04A0"/>
                                          </w:tblPr>
                                          <w:tblGrid>
                                            <w:gridCol w:w="3030"/>
                                          </w:tblGrid>
                                          <w:tr w:rsidR="00D46C68">
                                            <w:tc>
                                              <w:tcPr>
                                                <w:tcW w:w="0" w:type="auto"/>
                                                <w:tcMar>
                                                  <w:top w:w="0" w:type="dxa"/>
                                                  <w:left w:w="300" w:type="dxa"/>
                                                  <w:bottom w:w="0" w:type="dxa"/>
                                                  <w:right w:w="0" w:type="dxa"/>
                                                </w:tcMar>
                                                <w:vAlign w:val="center"/>
                                                <w:hideMark/>
                                              </w:tcPr>
                                              <w:p w:rsidR="00D46C68" w:rsidRDefault="00D46C68">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6880" cy="1706880"/>
                                                      <wp:effectExtent l="19050" t="0" r="7620" b="0"/>
                                                      <wp:docPr id="3" name="Image 3" descr="Une personne tient un téléphone portable avec l'e-ID ouverte à côté de la carte d'ident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 personne tient un téléphone portable avec l'e-ID ouverte à côté de la carte d'identité."/>
                                                              <pic:cNvPicPr>
                                                                <a:picLocks noChangeAspect="1" noChangeArrowheads="1"/>
                                                              </pic:cNvPicPr>
                                                            </pic:nvPicPr>
                                                            <pic:blipFill>
                                                              <a:blip r:embed="rId9"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jc w:val="center"/>
                    <w:rPr>
                      <w:rFonts w:eastAsia="Times New Roman"/>
                      <w:color w:val="auto"/>
                      <w:sz w:val="20"/>
                      <w:szCs w:val="20"/>
                    </w:rPr>
                  </w:pPr>
                </w:p>
              </w:tc>
            </w:tr>
          </w:tbl>
          <w:p w:rsidR="00D46C68" w:rsidRDefault="00D46C68">
            <w:pPr>
              <w:rPr>
                <w:rFonts w:eastAsia="Times New Roman"/>
                <w:vanish/>
              </w:rPr>
            </w:pPr>
          </w:p>
          <w:tbl>
            <w:tblPr>
              <w:tblW w:w="5000" w:type="pct"/>
              <w:jc w:val="center"/>
              <w:tblCellMar>
                <w:left w:w="0" w:type="dxa"/>
                <w:right w:w="0" w:type="dxa"/>
              </w:tblCellMar>
              <w:tblLook w:val="04A0"/>
            </w:tblPr>
            <w:tblGrid>
              <w:gridCol w:w="9072"/>
            </w:tblGrid>
            <w:tr w:rsidR="00D46C68">
              <w:trPr>
                <w:trHeight w:val="600"/>
                <w:jc w:val="center"/>
              </w:trPr>
              <w:tc>
                <w:tcPr>
                  <w:tcW w:w="0" w:type="auto"/>
                  <w:vAlign w:val="center"/>
                  <w:hideMark/>
                </w:tcPr>
                <w:p w:rsidR="00D46C68" w:rsidRDefault="00D46C68">
                  <w:pPr>
                    <w:spacing w:line="750" w:lineRule="exact"/>
                    <w:rPr>
                      <w:rFonts w:eastAsia="Times New Roman"/>
                      <w:sz w:val="75"/>
                      <w:szCs w:val="75"/>
                    </w:rPr>
                  </w:pPr>
                  <w:r>
                    <w:rPr>
                      <w:rFonts w:eastAsia="Times New Roman"/>
                      <w:sz w:val="75"/>
                      <w:szCs w:val="75"/>
                    </w:rPr>
                    <w:softHyphen/>
                  </w:r>
                </w:p>
              </w:tc>
            </w:tr>
            <w:tr w:rsidR="00D46C68">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D46C68">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D46C68">
                          <w:tc>
                            <w:tcPr>
                              <w:tcW w:w="5000" w:type="pct"/>
                            </w:tcPr>
                            <w:tbl>
                              <w:tblPr>
                                <w:tblpPr w:vertAnchor="text"/>
                                <w:tblW w:w="5000" w:type="pct"/>
                                <w:tblCellMar>
                                  <w:left w:w="0" w:type="dxa"/>
                                  <w:right w:w="0" w:type="dxa"/>
                                </w:tblCellMar>
                                <w:tblLook w:val="04A0"/>
                              </w:tblPr>
                              <w:tblGrid>
                                <w:gridCol w:w="9000"/>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30"/>
                                        <w:szCs w:val="30"/>
                                        <w:shd w:val="clear" w:color="auto" w:fill="FFFFFF"/>
                                      </w:rPr>
                                      <w:t> De la fédération: </w:t>
                                    </w:r>
                                    <w:r>
                                      <w:rPr>
                                        <w:rFonts w:ascii="Atkinson Hyperlegible" w:eastAsia="Times New Roman" w:hAnsi="Atkinson Hyperlegible"/>
                                        <w:sz w:val="42"/>
                                        <w:szCs w:val="42"/>
                                      </w:rPr>
                                      <w:br/>
                                      <w:t xml:space="preserve">Véhicules autonomes: la </w:t>
                                    </w:r>
                                    <w:proofErr w:type="spellStart"/>
                                    <w:r>
                                      <w:rPr>
                                        <w:rFonts w:ascii="Atkinson Hyperlegible" w:eastAsia="Times New Roman" w:hAnsi="Atkinson Hyperlegible"/>
                                        <w:sz w:val="42"/>
                                        <w:szCs w:val="42"/>
                                      </w:rPr>
                                      <w:t>fsa</w:t>
                                    </w:r>
                                    <w:proofErr w:type="spellEnd"/>
                                    <w:r>
                                      <w:rPr>
                                        <w:rFonts w:ascii="Atkinson Hyperlegible" w:eastAsia="Times New Roman" w:hAnsi="Atkinson Hyperlegible"/>
                                        <w:sz w:val="42"/>
                                        <w:szCs w:val="42"/>
                                      </w:rPr>
                                      <w:t xml:space="preserve"> s'implique</w:t>
                                    </w:r>
                                  </w:p>
                                </w:tc>
                              </w:tr>
                            </w:tbl>
                            <w:p w:rsidR="00D46C68" w:rsidRDefault="00D46C68">
                              <w:pPr>
                                <w:rPr>
                                  <w:rFonts w:eastAsia="Times New Roman"/>
                                  <w:vanish/>
                                </w:rPr>
                              </w:pPr>
                            </w:p>
                            <w:tbl>
                              <w:tblPr>
                                <w:tblpPr w:vertAnchor="text"/>
                                <w:tblW w:w="5000" w:type="pct"/>
                                <w:tblCellMar>
                                  <w:left w:w="0" w:type="dxa"/>
                                  <w:right w:w="0" w:type="dxa"/>
                                </w:tblCellMar>
                                <w:tblLook w:val="04A0"/>
                              </w:tblPr>
                              <w:tblGrid>
                                <w:gridCol w:w="9000"/>
                              </w:tblGrid>
                              <w:tr w:rsidR="00D46C68">
                                <w:tc>
                                  <w:tcPr>
                                    <w:tcW w:w="0" w:type="auto"/>
                                    <w:tcMar>
                                      <w:top w:w="225" w:type="dxa"/>
                                      <w:left w:w="0" w:type="dxa"/>
                                      <w:bottom w:w="225" w:type="dxa"/>
                                      <w:right w:w="0" w:type="dxa"/>
                                    </w:tcMar>
                                  </w:tcPr>
                                  <w:p w:rsidR="00D46C68" w:rsidRDefault="00D46C68">
                                    <w:pPr>
                                      <w:pStyle w:val="default"/>
                                      <w:rPr>
                                        <w:rFonts w:ascii="Atkinson Hyperlegible" w:hAnsi="Atkinson Hyperlegible"/>
                                        <w:sz w:val="30"/>
                                        <w:szCs w:val="30"/>
                                      </w:rPr>
                                    </w:pPr>
                                    <w:r>
                                      <w:rPr>
                                        <w:rFonts w:ascii="Atkinson Hyperlegible" w:hAnsi="Atkinson Hyperlegible"/>
                                        <w:sz w:val="30"/>
                                        <w:szCs w:val="30"/>
                                      </w:rPr>
                                      <w:t xml:space="preserve">La défense des intérêts régionale (DI) de la section Suisse orientale a testé cet hiver, à Arbon, avec dix personnes aveugles et malvoyantes de la section, l’accessibilité du </w:t>
                                    </w:r>
                                    <w:proofErr w:type="spellStart"/>
                                    <w:r>
                                      <w:rPr>
                                        <w:rFonts w:ascii="Atkinson Hyperlegible" w:hAnsi="Atkinson Hyperlegible"/>
                                        <w:sz w:val="30"/>
                                        <w:szCs w:val="30"/>
                                      </w:rPr>
                                      <w:t>Cityliner</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Artour</w:t>
                                    </w:r>
                                    <w:proofErr w:type="spellEnd"/>
                                    <w:r>
                                      <w:rPr>
                                        <w:rFonts w:ascii="Atkinson Hyperlegible" w:hAnsi="Atkinson Hyperlegible"/>
                                        <w:sz w:val="30"/>
                                        <w:szCs w:val="30"/>
                                      </w:rPr>
                                      <w:t xml:space="preserve"> à conduite autonome. 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salue le fait que les personnes en situation de handicap visuel soient impliquées dès la phase pilote de ce projet – sachant que le développement de la conduite automatisée ne contribuera à une mobilité réelle qu’à la condition d’être à l’écoute des personnes concernées. La DI s’implique également dans d’autres projets similaires, comme à </w:t>
                                    </w:r>
                                    <w:proofErr w:type="spellStart"/>
                                    <w:r>
                                      <w:rPr>
                                        <w:rFonts w:ascii="Atkinson Hyperlegible" w:hAnsi="Atkinson Hyperlegible"/>
                                        <w:sz w:val="30"/>
                                        <w:szCs w:val="30"/>
                                      </w:rPr>
                                      <w:t>Furttal</w:t>
                                    </w:r>
                                    <w:proofErr w:type="spellEnd"/>
                                    <w:r>
                                      <w:rPr>
                                        <w:rFonts w:ascii="Atkinson Hyperlegible" w:hAnsi="Atkinson Hyperlegible"/>
                                        <w:sz w:val="30"/>
                                        <w:szCs w:val="30"/>
                                      </w:rPr>
                                      <w:t>, où des voitures privées à conduite autonome sont à l’essai. </w:t>
                                    </w:r>
                                  </w:p>
                                  <w:p w:rsidR="00D46C68" w:rsidRDefault="00D46C68">
                                    <w:pPr>
                                      <w:pStyle w:val="default"/>
                                      <w:rPr>
                                        <w:rFonts w:ascii="Atkinson Hyperlegible" w:hAnsi="Atkinson Hyperlegible"/>
                                        <w:sz w:val="30"/>
                                        <w:szCs w:val="30"/>
                                      </w:rPr>
                                    </w:pPr>
                                  </w:p>
                                  <w:p w:rsidR="00D46C68" w:rsidRDefault="00D46C68">
                                    <w:pPr>
                                      <w:pStyle w:val="default"/>
                                      <w:rPr>
                                        <w:rFonts w:ascii="Atkinson Hyperlegible" w:hAnsi="Atkinson Hyperlegible"/>
                                        <w:sz w:val="30"/>
                                        <w:szCs w:val="30"/>
                                      </w:rPr>
                                    </w:pPr>
                                    <w:r>
                                      <w:rPr>
                                        <w:rFonts w:ascii="Atkinson Hyperlegible" w:hAnsi="Atkinson Hyperlegible"/>
                                        <w:sz w:val="30"/>
                                        <w:szCs w:val="30"/>
                                      </w:rPr>
                                      <w:lastRenderedPageBreak/>
                                      <w:t xml:space="preserve">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est ouverte à toute suggestion concernant d'autres essais pilotes. Ainsi, nous nous assurons que l'accessibilité est prise en compte dès le départ. </w:t>
                                    </w:r>
                                  </w:p>
                                  <w:p w:rsidR="00D46C68" w:rsidRDefault="00D46C68">
                                    <w:pPr>
                                      <w:pStyle w:val="default"/>
                                      <w:rPr>
                                        <w:rFonts w:ascii="Atkinson Hyperlegible" w:hAnsi="Atkinson Hyperlegible"/>
                                        <w:sz w:val="30"/>
                                        <w:szCs w:val="30"/>
                                      </w:rPr>
                                    </w:pPr>
                                  </w:p>
                                  <w:p w:rsidR="00D46C68" w:rsidRDefault="00D46C68">
                                    <w:pPr>
                                      <w:pStyle w:val="default"/>
                                      <w:rPr>
                                        <w:rFonts w:ascii="Atkinson Hyperlegible" w:hAnsi="Atkinson Hyperlegible"/>
                                        <w:sz w:val="30"/>
                                        <w:szCs w:val="30"/>
                                      </w:rPr>
                                    </w:pPr>
                                    <w:r>
                                      <w:rPr>
                                        <w:rFonts w:ascii="Atkinson Hyperlegible" w:hAnsi="Atkinson Hyperlegible"/>
                                        <w:sz w:val="30"/>
                                        <w:szCs w:val="30"/>
                                      </w:rPr>
                                      <w:t>Contact: </w:t>
                                    </w:r>
                                    <w:hyperlink r:id="rId10" w:history="1">
                                      <w:r>
                                        <w:rPr>
                                          <w:rStyle w:val="Lienhypertexte"/>
                                          <w:rFonts w:ascii="Atkinson Hyperlegible" w:hAnsi="Atkinson Hyperlegible"/>
                                          <w:sz w:val="30"/>
                                          <w:szCs w:val="30"/>
                                        </w:rPr>
                                        <w:t>defensedesinterets@sbv-fsa.ch</w:t>
                                      </w:r>
                                    </w:hyperlink>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jc w:val="center"/>
                    <w:rPr>
                      <w:rFonts w:eastAsia="Times New Roman"/>
                      <w:color w:val="auto"/>
                      <w:sz w:val="20"/>
                      <w:szCs w:val="20"/>
                    </w:rPr>
                  </w:pPr>
                </w:p>
              </w:tc>
            </w:tr>
            <w:tr w:rsidR="00D46C68">
              <w:trPr>
                <w:trHeight w:val="360"/>
                <w:jc w:val="center"/>
              </w:trPr>
              <w:tc>
                <w:tcPr>
                  <w:tcW w:w="0" w:type="auto"/>
                  <w:vAlign w:val="center"/>
                  <w:hideMark/>
                </w:tcPr>
                <w:p w:rsidR="00D46C68" w:rsidRDefault="00D46C68">
                  <w:pPr>
                    <w:spacing w:line="450" w:lineRule="exact"/>
                    <w:rPr>
                      <w:rFonts w:eastAsia="Times New Roman"/>
                      <w:sz w:val="45"/>
                      <w:szCs w:val="45"/>
                    </w:rPr>
                  </w:pPr>
                  <w:r>
                    <w:rPr>
                      <w:rFonts w:eastAsia="Times New Roman"/>
                      <w:sz w:val="45"/>
                      <w:szCs w:val="45"/>
                    </w:rPr>
                    <w:lastRenderedPageBreak/>
                    <w:softHyphen/>
                  </w:r>
                </w:p>
              </w:tc>
            </w:tr>
          </w:tbl>
          <w:p w:rsidR="00D46C68" w:rsidRDefault="00D46C68">
            <w:pPr>
              <w:rPr>
                <w:rFonts w:eastAsia="Times New Roman"/>
                <w:vanish/>
              </w:rPr>
            </w:pPr>
          </w:p>
          <w:tbl>
            <w:tblPr>
              <w:tblW w:w="9000" w:type="dxa"/>
              <w:jc w:val="center"/>
              <w:tblCellMar>
                <w:left w:w="0" w:type="dxa"/>
                <w:right w:w="0" w:type="dxa"/>
              </w:tblCellMar>
              <w:tblLook w:val="04A0"/>
            </w:tblPr>
            <w:tblGrid>
              <w:gridCol w:w="9000"/>
            </w:tblGrid>
            <w:tr w:rsidR="00D46C68">
              <w:trPr>
                <w:jc w:val="center"/>
              </w:trPr>
              <w:tc>
                <w:tcPr>
                  <w:tcW w:w="0" w:type="auto"/>
                  <w:shd w:val="clear" w:color="auto" w:fill="FFFFFF"/>
                  <w:hideMark/>
                </w:tcPr>
                <w:tbl>
                  <w:tblPr>
                    <w:tblW w:w="5000" w:type="pct"/>
                    <w:jc w:val="center"/>
                    <w:tblCellMar>
                      <w:left w:w="0" w:type="dxa"/>
                      <w:right w:w="0" w:type="dxa"/>
                    </w:tblCellMar>
                    <w:tblLook w:val="04A0"/>
                  </w:tblPr>
                  <w:tblGrid>
                    <w:gridCol w:w="9000"/>
                  </w:tblGrid>
                  <w:tr w:rsidR="00D46C68">
                    <w:trPr>
                      <w:trHeight w:val="360"/>
                      <w:jc w:val="center"/>
                    </w:trPr>
                    <w:tc>
                      <w:tcPr>
                        <w:tcW w:w="0" w:type="auto"/>
                        <w:vAlign w:val="center"/>
                        <w:hideMark/>
                      </w:tcPr>
                      <w:p w:rsidR="00D46C68" w:rsidRDefault="00D46C68">
                        <w:pPr>
                          <w:spacing w:line="450" w:lineRule="exact"/>
                          <w:rPr>
                            <w:rFonts w:eastAsia="Times New Roman"/>
                            <w:sz w:val="45"/>
                            <w:szCs w:val="45"/>
                          </w:rPr>
                        </w:pPr>
                        <w:r>
                          <w:rPr>
                            <w:rFonts w:eastAsia="Times New Roman"/>
                            <w:sz w:val="45"/>
                            <w:szCs w:val="45"/>
                          </w:rPr>
                          <w:softHyphen/>
                        </w:r>
                      </w:p>
                    </w:tc>
                  </w:tr>
                  <w:tr w:rsidR="00D46C68">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D46C68">
                          <w:tc>
                            <w:tcPr>
                              <w:tcW w:w="5000" w:type="pct"/>
                              <w:hideMark/>
                            </w:tcPr>
                            <w:tbl>
                              <w:tblPr>
                                <w:tblW w:w="5000" w:type="pct"/>
                                <w:tblCellMar>
                                  <w:left w:w="0" w:type="dxa"/>
                                  <w:right w:w="0" w:type="dxa"/>
                                </w:tblCellMar>
                                <w:tblLook w:val="04A0"/>
                              </w:tblPr>
                              <w:tblGrid>
                                <w:gridCol w:w="9000"/>
                              </w:tblGrid>
                              <w:tr w:rsidR="00D46C68">
                                <w:tc>
                                  <w:tcPr>
                                    <w:tcW w:w="0" w:type="auto"/>
                                    <w:hideMark/>
                                  </w:tcPr>
                                  <w:tbl>
                                    <w:tblPr>
                                      <w:tblW w:w="5000" w:type="pct"/>
                                      <w:tblCellMar>
                                        <w:left w:w="0" w:type="dxa"/>
                                        <w:right w:w="0" w:type="dxa"/>
                                      </w:tblCellMar>
                                      <w:tblLook w:val="04A0"/>
                                    </w:tblPr>
                                    <w:tblGrid>
                                      <w:gridCol w:w="9000"/>
                                    </w:tblGrid>
                                    <w:tr w:rsidR="00D46C68">
                                      <w:tc>
                                        <w:tcPr>
                                          <w:tcW w:w="0" w:type="auto"/>
                                          <w:vAlign w:val="center"/>
                                          <w:hideMark/>
                                        </w:tcPr>
                                        <w:tbl>
                                          <w:tblPr>
                                            <w:tblW w:w="5000" w:type="pct"/>
                                            <w:tblCellMar>
                                              <w:left w:w="0" w:type="dxa"/>
                                              <w:right w:w="0" w:type="dxa"/>
                                            </w:tblCellMar>
                                            <w:tblLook w:val="04A0"/>
                                          </w:tblPr>
                                          <w:tblGrid>
                                            <w:gridCol w:w="9000"/>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Accueil et service aux personnes aveugles ou malvoyantes – dix conseils pour les collaboratrices et collaborateurs des pharmacies</w:t>
                                                </w:r>
                                              </w:p>
                                            </w:tc>
                                          </w:tr>
                                          <w:tr w:rsidR="00D46C68">
                                            <w:trPr>
                                              <w:trHeight w:val="60"/>
                                            </w:trPr>
                                            <w:tc>
                                              <w:tcPr>
                                                <w:tcW w:w="0" w:type="auto"/>
                                                <w:vAlign w:val="center"/>
                                                <w:hideMark/>
                                              </w:tcPr>
                                              <w:p w:rsidR="00D46C68" w:rsidRDefault="00D46C68">
                                                <w:pPr>
                                                  <w:spacing w:line="75" w:lineRule="exact"/>
                                                  <w:rPr>
                                                    <w:rFonts w:eastAsia="Times New Roman"/>
                                                    <w:sz w:val="8"/>
                                                    <w:szCs w:val="8"/>
                                                  </w:rPr>
                                                </w:pPr>
                                                <w:r>
                                                  <w:rPr>
                                                    <w:rFonts w:eastAsia="Times New Roman"/>
                                                    <w:sz w:val="8"/>
                                                    <w:szCs w:val="8"/>
                                                  </w:rPr>
                                                  <w:softHyphen/>
                                                </w:r>
                                              </w:p>
                                            </w:tc>
                                          </w:tr>
                                        </w:tbl>
                                        <w:p w:rsidR="00D46C68" w:rsidRDefault="00D46C68">
                                          <w:pPr>
                                            <w:rPr>
                                              <w:rFonts w:eastAsia="Times New Roman"/>
                                              <w:color w:val="auto"/>
                                              <w:sz w:val="20"/>
                                              <w:szCs w:val="20"/>
                                            </w:rPr>
                                          </w:pPr>
                                        </w:p>
                                      </w:tc>
                                    </w:tr>
                                    <w:tr w:rsidR="00D46C68">
                                      <w:tc>
                                        <w:tcPr>
                                          <w:tcW w:w="0" w:type="auto"/>
                                          <w:vAlign w:val="center"/>
                                          <w:hideMark/>
                                        </w:tcPr>
                                        <w:tbl>
                                          <w:tblPr>
                                            <w:tblW w:w="5000" w:type="pct"/>
                                            <w:tblCellMar>
                                              <w:left w:w="0" w:type="dxa"/>
                                              <w:right w:w="0" w:type="dxa"/>
                                            </w:tblCellMar>
                                            <w:tblLook w:val="04A0"/>
                                          </w:tblPr>
                                          <w:tblGrid>
                                            <w:gridCol w:w="9000"/>
                                          </w:tblGrid>
                                          <w:tr w:rsidR="00D46C68">
                                            <w:tc>
                                              <w:tcPr>
                                                <w:tcW w:w="0" w:type="auto"/>
                                                <w:hideMark/>
                                              </w:tcPr>
                                              <w:p w:rsidR="00D46C68" w:rsidRDefault="00D46C68">
                                                <w:pPr>
                                                  <w:pStyle w:val="NormalWeb"/>
                                                  <w:rPr>
                                                    <w:rFonts w:ascii="Atkinson Hyperlegible" w:hAnsi="Atkinson Hyperlegible"/>
                                                    <w:sz w:val="30"/>
                                                    <w:szCs w:val="30"/>
                                                  </w:rPr>
                                                </w:pPr>
                                                <w:r>
                                                  <w:rPr>
                                                    <w:rFonts w:ascii="Atkinson Hyperlegible" w:hAnsi="Atkinson Hyperlegible"/>
                                                    <w:sz w:val="30"/>
                                                    <w:szCs w:val="30"/>
                                                  </w:rPr>
                                                  <w:t xml:space="preserve">Suite aux commentaires d’un de nos membres, notre Défense des intérêts a créé une nouvelle fiche d’information pour les collaboratrices et collaborateurs des pharmacies. Elle contient 10 conseils pour l’accueil et le service aux personnes aveugles et malvoyantes. Les pharmacies </w:t>
                                                </w:r>
                                                <w:proofErr w:type="spellStart"/>
                                                <w:r>
                                                  <w:rPr>
                                                    <w:rFonts w:ascii="Atkinson Hyperlegible" w:hAnsi="Atkinson Hyperlegible"/>
                                                    <w:sz w:val="30"/>
                                                    <w:szCs w:val="30"/>
                                                  </w:rPr>
                                                  <w:t>Amavita</w:t>
                                                </w:r>
                                                <w:proofErr w:type="spellEnd"/>
                                                <w:r>
                                                  <w:rPr>
                                                    <w:rFonts w:ascii="Atkinson Hyperlegible" w:hAnsi="Atkinson Hyperlegible"/>
                                                    <w:sz w:val="30"/>
                                                    <w:szCs w:val="30"/>
                                                  </w:rPr>
                                                  <w:t xml:space="preserve"> ont distribué cette fiche dans leurs succursales.</w:t>
                                                </w:r>
                                              </w:p>
                                              <w:p w:rsidR="00D46C68" w:rsidRDefault="00D46C68">
                                                <w:pPr>
                                                  <w:pStyle w:val="NormalWeb"/>
                                                  <w:rPr>
                                                    <w:rFonts w:ascii="Atkinson Hyperlegible" w:hAnsi="Atkinson Hyperlegible"/>
                                                    <w:sz w:val="30"/>
                                                    <w:szCs w:val="30"/>
                                                  </w:rPr>
                                                </w:pPr>
                                                <w:r>
                                                  <w:rPr>
                                                    <w:rFonts w:ascii="Atkinson Hyperlegible" w:hAnsi="Atkinson Hyperlegible"/>
                                                    <w:sz w:val="30"/>
                                                    <w:szCs w:val="30"/>
                                                  </w:rPr>
                                                  <w:t> </w:t>
                                                </w:r>
                                              </w:p>
                                              <w:p w:rsidR="00D46C68" w:rsidRDefault="00D46C68">
                                                <w:pPr>
                                                  <w:pStyle w:val="NormalWeb"/>
                                                  <w:rPr>
                                                    <w:rFonts w:ascii="Atkinson Hyperlegible" w:hAnsi="Atkinson Hyperlegible"/>
                                                    <w:sz w:val="30"/>
                                                    <w:szCs w:val="30"/>
                                                  </w:rPr>
                                                </w:pPr>
                                                <w:hyperlink r:id="rId11" w:tgtFrame="_blank" w:tooltip="Vers l'article " w:history="1">
                                                  <w:r>
                                                    <w:rPr>
                                                      <w:rStyle w:val="Lienhypertexte"/>
                                                      <w:rFonts w:ascii="Atkinson Hyperlegible" w:hAnsi="Atkinson Hyperlegible"/>
                                                      <w:sz w:val="30"/>
                                                      <w:szCs w:val="30"/>
                                                    </w:rPr>
                                                    <w:t>Vers l'article</w:t>
                                                  </w:r>
                                                </w:hyperlink>
                                              </w:p>
                                            </w:tc>
                                          </w:tr>
                                          <w:tr w:rsidR="00D46C68">
                                            <w:trPr>
                                              <w:trHeight w:val="180"/>
                                            </w:trPr>
                                            <w:tc>
                                              <w:tcPr>
                                                <w:tcW w:w="0" w:type="auto"/>
                                                <w:vAlign w:val="center"/>
                                                <w:hideMark/>
                                              </w:tcPr>
                                              <w:p w:rsidR="00D46C68" w:rsidRDefault="00D46C68">
                                                <w:pPr>
                                                  <w:spacing w:line="225" w:lineRule="exact"/>
                                                  <w:rPr>
                                                    <w:rFonts w:eastAsia="Times New Roman"/>
                                                    <w:sz w:val="23"/>
                                                    <w:szCs w:val="23"/>
                                                  </w:rPr>
                                                </w:pPr>
                                                <w:r>
                                                  <w:rPr>
                                                    <w:rFonts w:eastAsia="Times New Roman"/>
                                                    <w:sz w:val="23"/>
                                                    <w:szCs w:val="23"/>
                                                  </w:rPr>
                                                  <w:softHyphen/>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jc w:val="center"/>
                    <w:rPr>
                      <w:rFonts w:eastAsia="Times New Roman"/>
                      <w:color w:val="auto"/>
                      <w:sz w:val="20"/>
                      <w:szCs w:val="20"/>
                    </w:rPr>
                  </w:pPr>
                </w:p>
              </w:tc>
            </w:tr>
          </w:tbl>
          <w:p w:rsidR="00D46C68" w:rsidRDefault="00D46C68">
            <w:pPr>
              <w:rPr>
                <w:rFonts w:eastAsia="Times New Roman"/>
                <w:vanish/>
              </w:rPr>
            </w:pPr>
          </w:p>
          <w:tbl>
            <w:tblPr>
              <w:tblW w:w="5000" w:type="pct"/>
              <w:jc w:val="center"/>
              <w:tblCellMar>
                <w:left w:w="0" w:type="dxa"/>
                <w:right w:w="0" w:type="dxa"/>
              </w:tblCellMar>
              <w:tblLook w:val="04A0"/>
            </w:tblPr>
            <w:tblGrid>
              <w:gridCol w:w="9072"/>
            </w:tblGrid>
            <w:tr w:rsidR="00D46C68">
              <w:trPr>
                <w:trHeight w:val="600"/>
                <w:jc w:val="center"/>
              </w:trPr>
              <w:tc>
                <w:tcPr>
                  <w:tcW w:w="0" w:type="auto"/>
                  <w:vAlign w:val="center"/>
                  <w:hideMark/>
                </w:tcPr>
                <w:p w:rsidR="00D46C68" w:rsidRDefault="00D46C68">
                  <w:pPr>
                    <w:spacing w:line="750" w:lineRule="exact"/>
                    <w:rPr>
                      <w:rFonts w:eastAsia="Times New Roman"/>
                      <w:sz w:val="75"/>
                      <w:szCs w:val="75"/>
                    </w:rPr>
                  </w:pPr>
                  <w:r>
                    <w:rPr>
                      <w:rFonts w:eastAsia="Times New Roman"/>
                      <w:sz w:val="75"/>
                      <w:szCs w:val="75"/>
                    </w:rPr>
                    <w:softHyphen/>
                  </w:r>
                </w:p>
              </w:tc>
            </w:tr>
            <w:tr w:rsidR="00D46C68">
              <w:trPr>
                <w:jc w:val="center"/>
              </w:trPr>
              <w:tc>
                <w:tcPr>
                  <w:tcW w:w="0" w:type="auto"/>
                  <w:shd w:val="clear" w:color="auto" w:fill="FFE6BC"/>
                  <w:hideMark/>
                </w:tcPr>
                <w:tbl>
                  <w:tblPr>
                    <w:tblW w:w="9000" w:type="dxa"/>
                    <w:jc w:val="center"/>
                    <w:tblCellMar>
                      <w:left w:w="0" w:type="dxa"/>
                      <w:right w:w="0" w:type="dxa"/>
                    </w:tblCellMar>
                    <w:tblLook w:val="04A0"/>
                  </w:tblPr>
                  <w:tblGrid>
                    <w:gridCol w:w="9000"/>
                  </w:tblGrid>
                  <w:tr w:rsidR="00D46C68">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D46C68">
                          <w:tc>
                            <w:tcPr>
                              <w:tcW w:w="5000" w:type="pct"/>
                            </w:tcPr>
                            <w:tbl>
                              <w:tblPr>
                                <w:tblpPr w:vertAnchor="text"/>
                                <w:tblW w:w="5000" w:type="pct"/>
                                <w:tblCellMar>
                                  <w:left w:w="0" w:type="dxa"/>
                                  <w:right w:w="0" w:type="dxa"/>
                                </w:tblCellMar>
                                <w:tblLook w:val="04A0"/>
                              </w:tblPr>
                              <w:tblGrid>
                                <w:gridCol w:w="9000"/>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Premiers résultats de l’étude sur les textes alternatifs aux graphiques générés par l’IA </w:t>
                                    </w:r>
                                  </w:p>
                                </w:tc>
                              </w:tr>
                            </w:tbl>
                            <w:p w:rsidR="00D46C68" w:rsidRDefault="00D46C68">
                              <w:pPr>
                                <w:rPr>
                                  <w:rFonts w:eastAsia="Times New Roman"/>
                                  <w:vanish/>
                                </w:rPr>
                              </w:pPr>
                            </w:p>
                            <w:tbl>
                              <w:tblPr>
                                <w:tblpPr w:vertAnchor="text"/>
                                <w:tblW w:w="5000" w:type="pct"/>
                                <w:tblCellMar>
                                  <w:left w:w="0" w:type="dxa"/>
                                  <w:right w:w="0" w:type="dxa"/>
                                </w:tblCellMar>
                                <w:tblLook w:val="04A0"/>
                              </w:tblPr>
                              <w:tblGrid>
                                <w:gridCol w:w="9000"/>
                              </w:tblGrid>
                              <w:tr w:rsidR="00D46C68">
                                <w:tc>
                                  <w:tcPr>
                                    <w:tcW w:w="0" w:type="auto"/>
                                    <w:tcMar>
                                      <w:top w:w="225" w:type="dxa"/>
                                      <w:left w:w="0" w:type="dxa"/>
                                      <w:bottom w:w="225" w:type="dxa"/>
                                      <w:right w:w="0" w:type="dxa"/>
                                    </w:tcMar>
                                  </w:tcPr>
                                  <w:p w:rsidR="00D46C68" w:rsidRDefault="00D46C68">
                                    <w:pPr>
                                      <w:pStyle w:val="NormalWeb"/>
                                      <w:rPr>
                                        <w:rFonts w:ascii="Atkinson Hyperlegible" w:hAnsi="Atkinson Hyperlegible"/>
                                        <w:sz w:val="30"/>
                                        <w:szCs w:val="30"/>
                                      </w:rPr>
                                    </w:pPr>
                                    <w:r>
                                      <w:rPr>
                                        <w:rFonts w:ascii="Atkinson Hyperlegible" w:hAnsi="Atkinson Hyperlegible"/>
                                        <w:sz w:val="30"/>
                                        <w:szCs w:val="30"/>
                                      </w:rPr>
                                      <w:t xml:space="preserve">En septembre 2025, les étudiantes </w:t>
                                    </w:r>
                                    <w:proofErr w:type="spellStart"/>
                                    <w:r>
                                      <w:rPr>
                                        <w:rFonts w:ascii="Atkinson Hyperlegible" w:hAnsi="Atkinson Hyperlegible"/>
                                        <w:sz w:val="30"/>
                                        <w:szCs w:val="30"/>
                                      </w:rPr>
                                      <w:t>Alessia</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Vannini</w:t>
                                    </w:r>
                                    <w:proofErr w:type="spellEnd"/>
                                    <w:r>
                                      <w:rPr>
                                        <w:rFonts w:ascii="Atkinson Hyperlegible" w:hAnsi="Atkinson Hyperlegible"/>
                                        <w:sz w:val="30"/>
                                        <w:szCs w:val="30"/>
                                      </w:rPr>
                                      <w:t xml:space="preserve"> et Julia Locher de la Haute Ecole spécialisée de la Suisse du Nord-Ouest cherchaient des participant-e-s aveugles et malvoyant-e-s pour une étude consacrée aux textes alternatifs générés par l’IA. Merci à toutes celles et ceux qui y ont participé.</w:t>
                                    </w:r>
                                  </w:p>
                                  <w:p w:rsidR="00D46C68" w:rsidRDefault="00D46C68">
                                    <w:pPr>
                                      <w:pStyle w:val="NormalWeb"/>
                                      <w:rPr>
                                        <w:rFonts w:ascii="Atkinson Hyperlegible" w:hAnsi="Atkinson Hyperlegible"/>
                                        <w:sz w:val="30"/>
                                        <w:szCs w:val="30"/>
                                      </w:rPr>
                                    </w:pPr>
                                  </w:p>
                                  <w:p w:rsidR="00D46C68" w:rsidRDefault="00D46C68">
                                    <w:pPr>
                                      <w:pStyle w:val="default"/>
                                      <w:rPr>
                                        <w:rFonts w:ascii="Atkinson Hyperlegible" w:hAnsi="Atkinson Hyperlegible"/>
                                        <w:sz w:val="30"/>
                                        <w:szCs w:val="30"/>
                                      </w:rPr>
                                    </w:pPr>
                                    <w:r>
                                      <w:rPr>
                                        <w:rFonts w:ascii="Atkinson Hyperlegible" w:hAnsi="Atkinson Hyperlegible"/>
                                        <w:sz w:val="30"/>
                                        <w:szCs w:val="30"/>
                                      </w:rPr>
                                      <w:t xml:space="preserve">Cette étude a clairement montré que l’IA n’est pas nécessaire et utile dans tous les cas. Nos testeurs ont préféré les textes bien structurés, contenant </w:t>
                                    </w:r>
                                    <w:r>
                                      <w:rPr>
                                        <w:rFonts w:ascii="Atkinson Hyperlegible" w:hAnsi="Atkinson Hyperlegible"/>
                                        <w:sz w:val="30"/>
                                        <w:szCs w:val="30"/>
                                      </w:rPr>
                                      <w:lastRenderedPageBreak/>
                                      <w:t>des métadonnées sur le type de graphique, les axes, les catégories, etc. L’IA décrit, quant à elle, les tendances, les valeurs aberrantes et les évolutions dans les graphiques à barres et à lignes. Sans directives claires, les textes générés automatiquement sont souvent trop longs et mal structurés. Il est donc essentiel d’avoir des prompts et des formats prédéfinis.</w:t>
                                    </w:r>
                                  </w:p>
                                  <w:p w:rsidR="00D46C68" w:rsidRDefault="00D46C68">
                                    <w:pPr>
                                      <w:pStyle w:val="default"/>
                                      <w:rPr>
                                        <w:rFonts w:ascii="Atkinson Hyperlegible" w:hAnsi="Atkinson Hyperlegible"/>
                                        <w:sz w:val="30"/>
                                        <w:szCs w:val="30"/>
                                      </w:rPr>
                                    </w:pPr>
                                  </w:p>
                                  <w:p w:rsidR="00D46C68" w:rsidRDefault="00D46C68">
                                    <w:pPr>
                                      <w:pStyle w:val="default"/>
                                      <w:rPr>
                                        <w:rFonts w:ascii="Atkinson Hyperlegible" w:hAnsi="Atkinson Hyperlegible"/>
                                        <w:sz w:val="30"/>
                                        <w:szCs w:val="30"/>
                                      </w:rPr>
                                    </w:pPr>
                                    <w:r>
                                      <w:rPr>
                                        <w:rFonts w:ascii="Atkinson Hyperlegible" w:hAnsi="Atkinson Hyperlegible"/>
                                        <w:sz w:val="30"/>
                                        <w:szCs w:val="30"/>
                                      </w:rPr>
                                      <w:t xml:space="preserve">La </w:t>
                                    </w:r>
                                    <w:proofErr w:type="spellStart"/>
                                    <w:r>
                                      <w:rPr>
                                        <w:rFonts w:ascii="Atkinson Hyperlegible" w:hAnsi="Atkinson Hyperlegible"/>
                                        <w:sz w:val="30"/>
                                        <w:szCs w:val="30"/>
                                      </w:rPr>
                                      <w:t>NZZ</w:t>
                                    </w:r>
                                    <w:proofErr w:type="spellEnd"/>
                                    <w:r>
                                      <w:rPr>
                                        <w:rFonts w:ascii="Atkinson Hyperlegible" w:hAnsi="Atkinson Hyperlegible"/>
                                        <w:sz w:val="30"/>
                                        <w:szCs w:val="30"/>
                                      </w:rPr>
                                      <w:t xml:space="preserve"> étudie désormais comment intégrer les prompts élaborés dans son outil interne de création de graphiques «Q» afin de pouvoir proposer à l'avenir des textes alternatifs de qualité pour ses graphiques.</w:t>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jc w:val="center"/>
                    <w:rPr>
                      <w:rFonts w:eastAsia="Times New Roman"/>
                      <w:color w:val="auto"/>
                      <w:sz w:val="20"/>
                      <w:szCs w:val="20"/>
                    </w:rPr>
                  </w:pPr>
                </w:p>
              </w:tc>
            </w:tr>
            <w:tr w:rsidR="00D46C68">
              <w:trPr>
                <w:trHeight w:val="360"/>
                <w:jc w:val="center"/>
              </w:trPr>
              <w:tc>
                <w:tcPr>
                  <w:tcW w:w="0" w:type="auto"/>
                  <w:vAlign w:val="center"/>
                  <w:hideMark/>
                </w:tcPr>
                <w:p w:rsidR="00D46C68" w:rsidRDefault="00D46C68">
                  <w:pPr>
                    <w:spacing w:line="450" w:lineRule="exact"/>
                    <w:rPr>
                      <w:rFonts w:eastAsia="Times New Roman"/>
                      <w:sz w:val="45"/>
                      <w:szCs w:val="45"/>
                    </w:rPr>
                  </w:pPr>
                  <w:r>
                    <w:rPr>
                      <w:rFonts w:eastAsia="Times New Roman"/>
                      <w:sz w:val="45"/>
                      <w:szCs w:val="45"/>
                    </w:rPr>
                    <w:lastRenderedPageBreak/>
                    <w:softHyphen/>
                  </w:r>
                </w:p>
              </w:tc>
            </w:tr>
          </w:tbl>
          <w:p w:rsidR="00D46C68" w:rsidRDefault="00D46C68">
            <w:pPr>
              <w:rPr>
                <w:rFonts w:eastAsia="Times New Roman"/>
                <w:vanish/>
              </w:rPr>
            </w:pPr>
          </w:p>
          <w:tbl>
            <w:tblPr>
              <w:tblW w:w="9000" w:type="dxa"/>
              <w:jc w:val="center"/>
              <w:tblCellMar>
                <w:left w:w="0" w:type="dxa"/>
                <w:right w:w="0" w:type="dxa"/>
              </w:tblCellMar>
              <w:tblLook w:val="04A0"/>
            </w:tblPr>
            <w:tblGrid>
              <w:gridCol w:w="9000"/>
            </w:tblGrid>
            <w:tr w:rsidR="00D46C68">
              <w:trPr>
                <w:jc w:val="center"/>
              </w:trPr>
              <w:tc>
                <w:tcPr>
                  <w:tcW w:w="0" w:type="auto"/>
                  <w:shd w:val="clear" w:color="auto" w:fill="FFFFFF"/>
                  <w:hideMark/>
                </w:tcPr>
                <w:tbl>
                  <w:tblPr>
                    <w:tblW w:w="5000" w:type="pct"/>
                    <w:jc w:val="center"/>
                    <w:tblCellMar>
                      <w:left w:w="0" w:type="dxa"/>
                      <w:right w:w="0" w:type="dxa"/>
                    </w:tblCellMar>
                    <w:tblLook w:val="04A0"/>
                  </w:tblPr>
                  <w:tblGrid>
                    <w:gridCol w:w="9000"/>
                  </w:tblGrid>
                  <w:tr w:rsidR="00D46C68">
                    <w:trPr>
                      <w:trHeight w:val="360"/>
                      <w:jc w:val="center"/>
                    </w:trPr>
                    <w:tc>
                      <w:tcPr>
                        <w:tcW w:w="0" w:type="auto"/>
                        <w:vAlign w:val="center"/>
                        <w:hideMark/>
                      </w:tcPr>
                      <w:p w:rsidR="00D46C68" w:rsidRDefault="00D46C68">
                        <w:pPr>
                          <w:spacing w:line="450" w:lineRule="exact"/>
                          <w:rPr>
                            <w:rFonts w:eastAsia="Times New Roman"/>
                            <w:sz w:val="45"/>
                            <w:szCs w:val="45"/>
                          </w:rPr>
                        </w:pPr>
                        <w:r>
                          <w:rPr>
                            <w:rFonts w:eastAsia="Times New Roman"/>
                            <w:sz w:val="45"/>
                            <w:szCs w:val="45"/>
                          </w:rPr>
                          <w:softHyphen/>
                        </w:r>
                      </w:p>
                    </w:tc>
                  </w:tr>
                  <w:tr w:rsidR="00D46C68">
                    <w:trPr>
                      <w:jc w:val="center"/>
                    </w:trPr>
                    <w:tc>
                      <w:tcPr>
                        <w:tcW w:w="0" w:type="auto"/>
                        <w:shd w:val="clear" w:color="auto" w:fill="FFFFFF"/>
                        <w:vAlign w:val="center"/>
                        <w:hideMark/>
                      </w:tcPr>
                      <w:tbl>
                        <w:tblPr>
                          <w:tblW w:w="5000" w:type="pct"/>
                          <w:tblCellMar>
                            <w:left w:w="0" w:type="dxa"/>
                            <w:right w:w="0" w:type="dxa"/>
                          </w:tblCellMar>
                          <w:tblLook w:val="04A0"/>
                        </w:tblPr>
                        <w:tblGrid>
                          <w:gridCol w:w="5970"/>
                          <w:gridCol w:w="3030"/>
                        </w:tblGrid>
                        <w:tr w:rsidR="00D46C68">
                          <w:tc>
                            <w:tcPr>
                              <w:tcW w:w="3300" w:type="pct"/>
                              <w:hideMark/>
                            </w:tcPr>
                            <w:tbl>
                              <w:tblPr>
                                <w:tblW w:w="5000" w:type="pct"/>
                                <w:tblCellMar>
                                  <w:left w:w="0" w:type="dxa"/>
                                  <w:right w:w="0" w:type="dxa"/>
                                </w:tblCellMar>
                                <w:tblLook w:val="04A0"/>
                              </w:tblPr>
                              <w:tblGrid>
                                <w:gridCol w:w="5970"/>
                              </w:tblGrid>
                              <w:tr w:rsidR="00D46C68">
                                <w:tc>
                                  <w:tcPr>
                                    <w:tcW w:w="0" w:type="auto"/>
                                    <w:hideMark/>
                                  </w:tcPr>
                                  <w:tbl>
                                    <w:tblPr>
                                      <w:tblW w:w="5000" w:type="pct"/>
                                      <w:tblCellMar>
                                        <w:left w:w="0" w:type="dxa"/>
                                        <w:right w:w="0" w:type="dxa"/>
                                      </w:tblCellMar>
                                      <w:tblLook w:val="04A0"/>
                                    </w:tblPr>
                                    <w:tblGrid>
                                      <w:gridCol w:w="5970"/>
                                    </w:tblGrid>
                                    <w:tr w:rsidR="00D46C68">
                                      <w:tc>
                                        <w:tcPr>
                                          <w:tcW w:w="0" w:type="auto"/>
                                          <w:vAlign w:val="center"/>
                                          <w:hideMark/>
                                        </w:tcPr>
                                        <w:tbl>
                                          <w:tblPr>
                                            <w:tblW w:w="5000" w:type="pct"/>
                                            <w:tblCellMar>
                                              <w:left w:w="0" w:type="dxa"/>
                                              <w:right w:w="0" w:type="dxa"/>
                                            </w:tblCellMar>
                                            <w:tblLook w:val="04A0"/>
                                          </w:tblPr>
                                          <w:tblGrid>
                                            <w:gridCol w:w="5970"/>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Manifestation nationale du 2 mai, ensemble pour l’égalité</w:t>
                                                </w:r>
                                              </w:p>
                                            </w:tc>
                                          </w:tr>
                                          <w:tr w:rsidR="00D46C68">
                                            <w:trPr>
                                              <w:trHeight w:val="60"/>
                                            </w:trPr>
                                            <w:tc>
                                              <w:tcPr>
                                                <w:tcW w:w="0" w:type="auto"/>
                                                <w:vAlign w:val="center"/>
                                                <w:hideMark/>
                                              </w:tcPr>
                                              <w:p w:rsidR="00D46C68" w:rsidRDefault="00D46C68">
                                                <w:pPr>
                                                  <w:spacing w:line="75" w:lineRule="exact"/>
                                                  <w:rPr>
                                                    <w:rFonts w:eastAsia="Times New Roman"/>
                                                    <w:sz w:val="8"/>
                                                    <w:szCs w:val="8"/>
                                                  </w:rPr>
                                                </w:pPr>
                                                <w:r>
                                                  <w:rPr>
                                                    <w:rFonts w:eastAsia="Times New Roman"/>
                                                    <w:sz w:val="8"/>
                                                    <w:szCs w:val="8"/>
                                                  </w:rPr>
                                                  <w:softHyphen/>
                                                </w:r>
                                              </w:p>
                                            </w:tc>
                                          </w:tr>
                                        </w:tbl>
                                        <w:p w:rsidR="00D46C68" w:rsidRDefault="00D46C68">
                                          <w:pPr>
                                            <w:rPr>
                                              <w:rFonts w:eastAsia="Times New Roman"/>
                                              <w:color w:val="auto"/>
                                              <w:sz w:val="20"/>
                                              <w:szCs w:val="20"/>
                                            </w:rPr>
                                          </w:pPr>
                                        </w:p>
                                      </w:tc>
                                    </w:tr>
                                    <w:tr w:rsidR="00D46C68">
                                      <w:tc>
                                        <w:tcPr>
                                          <w:tcW w:w="0" w:type="auto"/>
                                          <w:vAlign w:val="center"/>
                                          <w:hideMark/>
                                        </w:tcPr>
                                        <w:tbl>
                                          <w:tblPr>
                                            <w:tblW w:w="5000" w:type="pct"/>
                                            <w:tblCellMar>
                                              <w:left w:w="0" w:type="dxa"/>
                                              <w:right w:w="0" w:type="dxa"/>
                                            </w:tblCellMar>
                                            <w:tblLook w:val="04A0"/>
                                          </w:tblPr>
                                          <w:tblGrid>
                                            <w:gridCol w:w="5970"/>
                                          </w:tblGrid>
                                          <w:tr w:rsidR="00D46C68">
                                            <w:tc>
                                              <w:tcPr>
                                                <w:tcW w:w="0" w:type="auto"/>
                                                <w:hideMark/>
                                              </w:tcPr>
                                              <w:p w:rsidR="00D46C68" w:rsidRDefault="00D46C68">
                                                <w:pPr>
                                                  <w:pStyle w:val="NormalWeb"/>
                                                  <w:rPr>
                                                    <w:rFonts w:ascii="Atkinson Hyperlegible" w:hAnsi="Atkinson Hyperlegible"/>
                                                    <w:sz w:val="30"/>
                                                    <w:szCs w:val="30"/>
                                                  </w:rPr>
                                                </w:pPr>
                                                <w:r>
                                                  <w:rPr>
                                                    <w:rFonts w:ascii="Atkinson Hyperlegible" w:hAnsi="Atkinson Hyperlegible"/>
                                                    <w:sz w:val="30"/>
                                                    <w:szCs w:val="30"/>
                                                  </w:rPr>
                                                  <w:t xml:space="preserve">Le 2 mai 2026, des personnes handicapées et valides se réuniront sur la </w:t>
                                                </w:r>
                                                <w:proofErr w:type="spellStart"/>
                                                <w:r>
                                                  <w:rPr>
                                                    <w:rFonts w:ascii="Atkinson Hyperlegible" w:hAnsi="Atkinson Hyperlegible"/>
                                                    <w:sz w:val="30"/>
                                                    <w:szCs w:val="30"/>
                                                  </w:rPr>
                                                  <w:t>Helvetiaplatz</w:t>
                                                </w:r>
                                                <w:proofErr w:type="spellEnd"/>
                                                <w:r>
                                                  <w:rPr>
                                                    <w:rFonts w:ascii="Atkinson Hyperlegible" w:hAnsi="Atkinson Hyperlegible"/>
                                                    <w:sz w:val="30"/>
                                                    <w:szCs w:val="30"/>
                                                  </w:rPr>
                                                  <w:t xml:space="preserve"> à Zurich pour envoyer un signal fort en faveur de l'égalité et de l'inclusion. Au programme de la manifestation: des discours, des prestations culturelles et musicales, des stands d’information et des revendications politiques.</w:t>
                                                </w:r>
                                              </w:p>
                                              <w:p w:rsidR="00D46C68" w:rsidRDefault="00D46C68">
                                                <w:pPr>
                                                  <w:pStyle w:val="NormalWeb"/>
                                                  <w:rPr>
                                                    <w:rFonts w:ascii="Atkinson Hyperlegible" w:hAnsi="Atkinson Hyperlegible"/>
                                                    <w:sz w:val="30"/>
                                                    <w:szCs w:val="30"/>
                                                  </w:rPr>
                                                </w:pPr>
                                                <w:r>
                                                  <w:rPr>
                                                    <w:rFonts w:ascii="Atkinson Hyperlegible" w:hAnsi="Atkinson Hyperlegible"/>
                                                    <w:sz w:val="30"/>
                                                    <w:szCs w:val="30"/>
                                                  </w:rPr>
                                                  <w:t> </w:t>
                                                </w:r>
                                              </w:p>
                                              <w:p w:rsidR="00D46C68" w:rsidRDefault="00D46C68">
                                                <w:pPr>
                                                  <w:pStyle w:val="NormalWeb"/>
                                                  <w:rPr>
                                                    <w:rFonts w:ascii="Atkinson Hyperlegible" w:hAnsi="Atkinson Hyperlegible"/>
                                                    <w:sz w:val="30"/>
                                                    <w:szCs w:val="30"/>
                                                  </w:rPr>
                                                </w:pPr>
                                                <w:hyperlink r:id="rId12" w:tgtFrame="_blank" w:tooltip="Vers l'article " w:history="1">
                                                  <w:r>
                                                    <w:rPr>
                                                      <w:rStyle w:val="Lienhypertexte"/>
                                                      <w:rFonts w:ascii="Atkinson Hyperlegible" w:hAnsi="Atkinson Hyperlegible"/>
                                                      <w:sz w:val="30"/>
                                                      <w:szCs w:val="30"/>
                                                    </w:rPr>
                                                    <w:t>Vers l'article</w:t>
                                                  </w:r>
                                                </w:hyperlink>
                                              </w:p>
                                            </w:tc>
                                          </w:tr>
                                          <w:tr w:rsidR="00D46C68">
                                            <w:trPr>
                                              <w:trHeight w:val="180"/>
                                            </w:trPr>
                                            <w:tc>
                                              <w:tcPr>
                                                <w:tcW w:w="0" w:type="auto"/>
                                                <w:vAlign w:val="center"/>
                                                <w:hideMark/>
                                              </w:tcPr>
                                              <w:p w:rsidR="00D46C68" w:rsidRDefault="00D46C68">
                                                <w:pPr>
                                                  <w:spacing w:line="225" w:lineRule="exact"/>
                                                  <w:rPr>
                                                    <w:rFonts w:eastAsia="Times New Roman"/>
                                                    <w:sz w:val="23"/>
                                                    <w:szCs w:val="23"/>
                                                  </w:rPr>
                                                </w:pPr>
                                                <w:r>
                                                  <w:rPr>
                                                    <w:rFonts w:eastAsia="Times New Roman"/>
                                                    <w:sz w:val="23"/>
                                                    <w:szCs w:val="23"/>
                                                  </w:rPr>
                                                  <w:softHyphen/>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D46C68">
                                <w:tc>
                                  <w:tcPr>
                                    <w:tcW w:w="0" w:type="auto"/>
                                    <w:hideMark/>
                                  </w:tcPr>
                                  <w:tbl>
                                    <w:tblPr>
                                      <w:tblW w:w="5000" w:type="pct"/>
                                      <w:tblCellMar>
                                        <w:left w:w="0" w:type="dxa"/>
                                        <w:right w:w="0" w:type="dxa"/>
                                      </w:tblCellMar>
                                      <w:tblLook w:val="04A0"/>
                                    </w:tblPr>
                                    <w:tblGrid>
                                      <w:gridCol w:w="3030"/>
                                    </w:tblGrid>
                                    <w:tr w:rsidR="00D46C68">
                                      <w:tc>
                                        <w:tcPr>
                                          <w:tcW w:w="0" w:type="auto"/>
                                          <w:vAlign w:val="center"/>
                                          <w:hideMark/>
                                        </w:tcPr>
                                        <w:tbl>
                                          <w:tblPr>
                                            <w:tblW w:w="2985" w:type="dxa"/>
                                            <w:tblCellMar>
                                              <w:left w:w="0" w:type="dxa"/>
                                              <w:right w:w="0" w:type="dxa"/>
                                            </w:tblCellMar>
                                            <w:tblLook w:val="04A0"/>
                                          </w:tblPr>
                                          <w:tblGrid>
                                            <w:gridCol w:w="3030"/>
                                          </w:tblGrid>
                                          <w:tr w:rsidR="00D46C68">
                                            <w:tc>
                                              <w:tcPr>
                                                <w:tcW w:w="0" w:type="auto"/>
                                                <w:tcMar>
                                                  <w:top w:w="0" w:type="dxa"/>
                                                  <w:left w:w="300" w:type="dxa"/>
                                                  <w:bottom w:w="0" w:type="dxa"/>
                                                  <w:right w:w="0" w:type="dxa"/>
                                                </w:tcMar>
                                                <w:vAlign w:val="center"/>
                                                <w:hideMark/>
                                              </w:tcPr>
                                              <w:p w:rsidR="00D46C68" w:rsidRDefault="00D46C68">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6880" cy="1706880"/>
                                                      <wp:effectExtent l="19050" t="0" r="7620" b="0"/>
                                                      <wp:docPr id="4" name="Image 4" descr="Gros plan sur huit mains tendues depuis différentes directions vers le centre de l'image et se touch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os plan sur huit mains tendues depuis différentes directions vers le centre de l'image et se touchant."/>
                                                              <pic:cNvPicPr>
                                                                <a:picLocks noChangeAspect="1" noChangeArrowheads="1"/>
                                                              </pic:cNvPicPr>
                                                            </pic:nvPicPr>
                                                            <pic:blipFill>
                                                              <a:blip r:embed="rId13"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jc w:val="center"/>
                    <w:rPr>
                      <w:rFonts w:eastAsia="Times New Roman"/>
                      <w:color w:val="auto"/>
                      <w:sz w:val="20"/>
                      <w:szCs w:val="20"/>
                    </w:rPr>
                  </w:pPr>
                </w:p>
              </w:tc>
            </w:tr>
          </w:tbl>
          <w:p w:rsidR="00D46C68" w:rsidRDefault="00D46C68">
            <w:pPr>
              <w:rPr>
                <w:rFonts w:eastAsia="Times New Roman"/>
                <w:vanish/>
              </w:rPr>
            </w:pPr>
          </w:p>
          <w:tbl>
            <w:tblPr>
              <w:tblW w:w="5000" w:type="pct"/>
              <w:jc w:val="center"/>
              <w:tblCellMar>
                <w:left w:w="0" w:type="dxa"/>
                <w:right w:w="0" w:type="dxa"/>
              </w:tblCellMar>
              <w:tblLook w:val="04A0"/>
            </w:tblPr>
            <w:tblGrid>
              <w:gridCol w:w="9072"/>
            </w:tblGrid>
            <w:tr w:rsidR="00D46C68">
              <w:trPr>
                <w:trHeight w:val="600"/>
                <w:jc w:val="center"/>
              </w:trPr>
              <w:tc>
                <w:tcPr>
                  <w:tcW w:w="0" w:type="auto"/>
                  <w:vAlign w:val="center"/>
                  <w:hideMark/>
                </w:tcPr>
                <w:p w:rsidR="00D46C68" w:rsidRDefault="00D46C68">
                  <w:pPr>
                    <w:spacing w:line="750" w:lineRule="exact"/>
                    <w:rPr>
                      <w:rFonts w:eastAsia="Times New Roman"/>
                      <w:sz w:val="75"/>
                      <w:szCs w:val="75"/>
                    </w:rPr>
                  </w:pPr>
                  <w:r>
                    <w:rPr>
                      <w:rFonts w:eastAsia="Times New Roman"/>
                      <w:sz w:val="75"/>
                      <w:szCs w:val="75"/>
                    </w:rPr>
                    <w:softHyphen/>
                  </w:r>
                </w:p>
              </w:tc>
            </w:tr>
            <w:tr w:rsidR="00D46C68">
              <w:trPr>
                <w:jc w:val="center"/>
              </w:trPr>
              <w:tc>
                <w:tcPr>
                  <w:tcW w:w="0" w:type="auto"/>
                  <w:shd w:val="clear" w:color="auto" w:fill="CDFFC8"/>
                  <w:hideMark/>
                </w:tcPr>
                <w:tbl>
                  <w:tblPr>
                    <w:tblW w:w="9000" w:type="dxa"/>
                    <w:jc w:val="center"/>
                    <w:tblCellMar>
                      <w:left w:w="0" w:type="dxa"/>
                      <w:right w:w="0" w:type="dxa"/>
                    </w:tblCellMar>
                    <w:tblLook w:val="04A0"/>
                  </w:tblPr>
                  <w:tblGrid>
                    <w:gridCol w:w="9000"/>
                  </w:tblGrid>
                  <w:tr w:rsidR="00D46C68">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D46C68">
                          <w:tc>
                            <w:tcPr>
                              <w:tcW w:w="5000" w:type="pct"/>
                            </w:tcPr>
                            <w:tbl>
                              <w:tblPr>
                                <w:tblpPr w:vertAnchor="text"/>
                                <w:tblW w:w="5000" w:type="pct"/>
                                <w:tblCellMar>
                                  <w:left w:w="0" w:type="dxa"/>
                                  <w:right w:w="0" w:type="dxa"/>
                                </w:tblCellMar>
                                <w:tblLook w:val="04A0"/>
                              </w:tblPr>
                              <w:tblGrid>
                                <w:gridCol w:w="9000"/>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30"/>
                                        <w:szCs w:val="30"/>
                                        <w:shd w:val="clear" w:color="auto" w:fill="FFFFFF"/>
                                      </w:rPr>
                                      <w:t> De la fédération: </w:t>
                                    </w:r>
                                    <w:r>
                                      <w:rPr>
                                        <w:rFonts w:ascii="Atkinson Hyperlegible" w:eastAsia="Times New Roman" w:hAnsi="Atkinson Hyperlegible"/>
                                        <w:sz w:val="42"/>
                                        <w:szCs w:val="42"/>
                                      </w:rPr>
                                      <w:br/>
                                      <w:t>Trouvez le chemin vers la sortie: jeu de labyrinthe pour personnes aveugles et malvoyantes </w:t>
                                    </w:r>
                                  </w:p>
                                </w:tc>
                              </w:tr>
                            </w:tbl>
                            <w:p w:rsidR="00D46C68" w:rsidRDefault="00D46C68">
                              <w:pPr>
                                <w:rPr>
                                  <w:rFonts w:eastAsia="Times New Roman"/>
                                  <w:vanish/>
                                </w:rPr>
                              </w:pPr>
                            </w:p>
                            <w:tbl>
                              <w:tblPr>
                                <w:tblpPr w:vertAnchor="text"/>
                                <w:tblW w:w="5000" w:type="pct"/>
                                <w:tblCellMar>
                                  <w:left w:w="0" w:type="dxa"/>
                                  <w:right w:w="0" w:type="dxa"/>
                                </w:tblCellMar>
                                <w:tblLook w:val="04A0"/>
                              </w:tblPr>
                              <w:tblGrid>
                                <w:gridCol w:w="9000"/>
                              </w:tblGrid>
                              <w:tr w:rsidR="00D46C68">
                                <w:tc>
                                  <w:tcPr>
                                    <w:tcW w:w="0" w:type="auto"/>
                                    <w:tcMar>
                                      <w:top w:w="225" w:type="dxa"/>
                                      <w:left w:w="0" w:type="dxa"/>
                                      <w:bottom w:w="225" w:type="dxa"/>
                                      <w:right w:w="0" w:type="dxa"/>
                                    </w:tcMar>
                                  </w:tcPr>
                                  <w:p w:rsidR="00D46C68" w:rsidRDefault="00D46C68">
                                    <w:pPr>
                                      <w:pStyle w:val="NormalWeb"/>
                                      <w:rPr>
                                        <w:rFonts w:ascii="Atkinson Hyperlegible" w:hAnsi="Atkinson Hyperlegible"/>
                                        <w:sz w:val="30"/>
                                        <w:szCs w:val="30"/>
                                      </w:rPr>
                                    </w:pPr>
                                    <w:r>
                                      <w:rPr>
                                        <w:rFonts w:ascii="Atkinson Hyperlegible" w:hAnsi="Atkinson Hyperlegible"/>
                                        <w:sz w:val="30"/>
                                        <w:szCs w:val="30"/>
                                      </w:rPr>
                                      <w:t xml:space="preserve">Les stagiaires de notre service Technologie et Innovation ont programmé au début de leur stage un petit jeu de labyrinthe. Ils avaient pour tâche de </w:t>
                                    </w:r>
                                    <w:r>
                                      <w:rPr>
                                        <w:rFonts w:ascii="Atkinson Hyperlegible" w:hAnsi="Atkinson Hyperlegible"/>
                                        <w:sz w:val="30"/>
                                        <w:szCs w:val="30"/>
                                      </w:rPr>
                                      <w:lastRenderedPageBreak/>
                                      <w:t>développer un jeu simple et inclusif. Par là, nous voulions initier les jeunes à l’accessibilité et les motiver à réfléchir aux limitations et plus particulièrement aux ressources et forces des personnes aveugles et malvoyantes. Ces expériences profiteront plus tard aux stagiaires dans leur quotidien professionnel. </w:t>
                                    </w:r>
                                  </w:p>
                                  <w:p w:rsidR="00D46C68" w:rsidRDefault="00D46C68">
                                    <w:pPr>
                                      <w:pStyle w:val="NormalWeb"/>
                                      <w:rPr>
                                        <w:rFonts w:ascii="Atkinson Hyperlegible" w:hAnsi="Atkinson Hyperlegible"/>
                                        <w:sz w:val="30"/>
                                        <w:szCs w:val="30"/>
                                      </w:rPr>
                                    </w:pPr>
                                  </w:p>
                                  <w:p w:rsidR="00D46C68" w:rsidRDefault="00D46C68">
                                    <w:pPr>
                                      <w:pStyle w:val="default"/>
                                      <w:rPr>
                                        <w:rFonts w:ascii="Atkinson Hyperlegible" w:hAnsi="Atkinson Hyperlegible"/>
                                        <w:sz w:val="30"/>
                                        <w:szCs w:val="30"/>
                                      </w:rPr>
                                    </w:pPr>
                                    <w:r>
                                      <w:rPr>
                                        <w:rFonts w:ascii="Atkinson Hyperlegible" w:hAnsi="Atkinson Hyperlegible"/>
                                        <w:sz w:val="30"/>
                                        <w:szCs w:val="30"/>
                                      </w:rPr>
                                      <w:t>Nous ne voulons pas vous priver du résultat. Accédez au jeu en ligne et voyez si vous trouvez la sortie du labyrinthe. Dans les paramètres, vous pouvez définir la taille de la grille et donc le niveau de difficulté. La navigation s'effectue à l'aide des touches W, A, S, D. Un son grave («faux») ne signifie pas «Game Over», mais indique simplement que le chemin choisi ne convient pas. Choisissez un autre chemin et continuez à jouer. À quelle vitesse atteindrez-vous la sortie du labyrinthe? </w:t>
                                    </w:r>
                                  </w:p>
                                  <w:p w:rsidR="00D46C68" w:rsidRDefault="00D46C68">
                                    <w:pPr>
                                      <w:pStyle w:val="default"/>
                                      <w:rPr>
                                        <w:rFonts w:ascii="Atkinson Hyperlegible" w:hAnsi="Atkinson Hyperlegible"/>
                                        <w:sz w:val="30"/>
                                        <w:szCs w:val="30"/>
                                      </w:rPr>
                                    </w:pPr>
                                  </w:p>
                                  <w:p w:rsidR="00D46C68" w:rsidRDefault="00D46C68">
                                    <w:pPr>
                                      <w:pStyle w:val="default"/>
                                      <w:rPr>
                                        <w:rFonts w:ascii="Atkinson Hyperlegible" w:hAnsi="Atkinson Hyperlegible"/>
                                        <w:sz w:val="30"/>
                                        <w:szCs w:val="30"/>
                                      </w:rPr>
                                    </w:pPr>
                                    <w:r>
                                      <w:rPr>
                                        <w:rFonts w:ascii="Atkinson Hyperlegible" w:hAnsi="Atkinson Hyperlegible"/>
                                        <w:sz w:val="30"/>
                                        <w:szCs w:val="30"/>
                                      </w:rPr>
                                      <w:t xml:space="preserve">Cliquez ici pour accéder au jeu </w:t>
                                    </w:r>
                                    <w:hyperlink r:id="rId14" w:tgtFrame="_blank" w:tooltip="Vers le jeu Sensoria" w:history="1">
                                      <w:proofErr w:type="spellStart"/>
                                      <w:r>
                                        <w:rPr>
                                          <w:rStyle w:val="Lienhypertexte"/>
                                          <w:rFonts w:ascii="Atkinson Hyperlegible" w:hAnsi="Atkinson Hyperlegible"/>
                                          <w:sz w:val="30"/>
                                          <w:szCs w:val="30"/>
                                        </w:rPr>
                                        <w:t>Sensoria</w:t>
                                      </w:r>
                                      <w:proofErr w:type="spellEnd"/>
                                      <w:r>
                                        <w:rPr>
                                          <w:rStyle w:val="Lienhypertexte"/>
                                          <w:rFonts w:ascii="Atkinson Hyperlegible" w:hAnsi="Atkinson Hyperlegible"/>
                                          <w:sz w:val="30"/>
                                          <w:szCs w:val="30"/>
                                        </w:rPr>
                                        <w:t xml:space="preserve"> </w:t>
                                      </w:r>
                                    </w:hyperlink>
                                    <w:r>
                                      <w:rPr>
                                        <w:rFonts w:ascii="Atkinson Hyperlegible" w:hAnsi="Atkinson Hyperlegible"/>
                                        <w:sz w:val="30"/>
                                        <w:szCs w:val="30"/>
                                      </w:rPr>
                                      <w:t>(instructions en allemand) </w:t>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jc w:val="center"/>
                    <w:rPr>
                      <w:rFonts w:eastAsia="Times New Roman"/>
                      <w:color w:val="auto"/>
                      <w:sz w:val="20"/>
                      <w:szCs w:val="20"/>
                    </w:rPr>
                  </w:pPr>
                </w:p>
              </w:tc>
            </w:tr>
            <w:tr w:rsidR="00D46C68">
              <w:trPr>
                <w:trHeight w:val="360"/>
                <w:jc w:val="center"/>
              </w:trPr>
              <w:tc>
                <w:tcPr>
                  <w:tcW w:w="0" w:type="auto"/>
                  <w:vAlign w:val="center"/>
                  <w:hideMark/>
                </w:tcPr>
                <w:p w:rsidR="00D46C68" w:rsidRDefault="00D46C68">
                  <w:pPr>
                    <w:spacing w:line="450" w:lineRule="exact"/>
                    <w:rPr>
                      <w:rFonts w:eastAsia="Times New Roman"/>
                      <w:sz w:val="45"/>
                      <w:szCs w:val="45"/>
                    </w:rPr>
                  </w:pPr>
                  <w:r>
                    <w:rPr>
                      <w:rFonts w:eastAsia="Times New Roman"/>
                      <w:sz w:val="45"/>
                      <w:szCs w:val="45"/>
                    </w:rPr>
                    <w:lastRenderedPageBreak/>
                    <w:softHyphen/>
                  </w:r>
                </w:p>
              </w:tc>
            </w:tr>
          </w:tbl>
          <w:p w:rsidR="00D46C68" w:rsidRDefault="00D46C68">
            <w:pPr>
              <w:rPr>
                <w:rFonts w:eastAsia="Times New Roman"/>
                <w:vanish/>
              </w:rPr>
            </w:pPr>
          </w:p>
          <w:tbl>
            <w:tblPr>
              <w:tblW w:w="9000" w:type="dxa"/>
              <w:jc w:val="center"/>
              <w:tblCellMar>
                <w:left w:w="0" w:type="dxa"/>
                <w:right w:w="0" w:type="dxa"/>
              </w:tblCellMar>
              <w:tblLook w:val="04A0"/>
            </w:tblPr>
            <w:tblGrid>
              <w:gridCol w:w="9000"/>
            </w:tblGrid>
            <w:tr w:rsidR="00D46C68">
              <w:trPr>
                <w:jc w:val="center"/>
              </w:trPr>
              <w:tc>
                <w:tcPr>
                  <w:tcW w:w="0" w:type="auto"/>
                  <w:shd w:val="clear" w:color="auto" w:fill="FFFFFF"/>
                  <w:hideMark/>
                </w:tcPr>
                <w:tbl>
                  <w:tblPr>
                    <w:tblW w:w="5000" w:type="pct"/>
                    <w:jc w:val="center"/>
                    <w:tblCellMar>
                      <w:left w:w="0" w:type="dxa"/>
                      <w:right w:w="0" w:type="dxa"/>
                    </w:tblCellMar>
                    <w:tblLook w:val="04A0"/>
                  </w:tblPr>
                  <w:tblGrid>
                    <w:gridCol w:w="9000"/>
                  </w:tblGrid>
                  <w:tr w:rsidR="00D46C68">
                    <w:trPr>
                      <w:trHeight w:val="360"/>
                      <w:jc w:val="center"/>
                    </w:trPr>
                    <w:tc>
                      <w:tcPr>
                        <w:tcW w:w="0" w:type="auto"/>
                        <w:vAlign w:val="center"/>
                        <w:hideMark/>
                      </w:tcPr>
                      <w:p w:rsidR="00D46C68" w:rsidRDefault="00D46C68">
                        <w:pPr>
                          <w:spacing w:line="450" w:lineRule="exact"/>
                          <w:rPr>
                            <w:rFonts w:eastAsia="Times New Roman"/>
                            <w:sz w:val="45"/>
                            <w:szCs w:val="45"/>
                          </w:rPr>
                        </w:pPr>
                        <w:r>
                          <w:rPr>
                            <w:rFonts w:eastAsia="Times New Roman"/>
                            <w:sz w:val="45"/>
                            <w:szCs w:val="45"/>
                          </w:rPr>
                          <w:softHyphen/>
                        </w:r>
                      </w:p>
                    </w:tc>
                  </w:tr>
                  <w:tr w:rsidR="00D46C68">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D46C68">
                          <w:tc>
                            <w:tcPr>
                              <w:tcW w:w="5000" w:type="pct"/>
                              <w:hideMark/>
                            </w:tcPr>
                            <w:tbl>
                              <w:tblPr>
                                <w:tblW w:w="5000" w:type="pct"/>
                                <w:tblCellMar>
                                  <w:left w:w="0" w:type="dxa"/>
                                  <w:right w:w="0" w:type="dxa"/>
                                </w:tblCellMar>
                                <w:tblLook w:val="04A0"/>
                              </w:tblPr>
                              <w:tblGrid>
                                <w:gridCol w:w="9000"/>
                              </w:tblGrid>
                              <w:tr w:rsidR="00D46C68">
                                <w:tc>
                                  <w:tcPr>
                                    <w:tcW w:w="0" w:type="auto"/>
                                    <w:hideMark/>
                                  </w:tcPr>
                                  <w:tbl>
                                    <w:tblPr>
                                      <w:tblW w:w="5000" w:type="pct"/>
                                      <w:tblCellMar>
                                        <w:left w:w="0" w:type="dxa"/>
                                        <w:right w:w="0" w:type="dxa"/>
                                      </w:tblCellMar>
                                      <w:tblLook w:val="04A0"/>
                                    </w:tblPr>
                                    <w:tblGrid>
                                      <w:gridCol w:w="9000"/>
                                    </w:tblGrid>
                                    <w:tr w:rsidR="00D46C68">
                                      <w:tc>
                                        <w:tcPr>
                                          <w:tcW w:w="0" w:type="auto"/>
                                          <w:vAlign w:val="center"/>
                                          <w:hideMark/>
                                        </w:tcPr>
                                        <w:tbl>
                                          <w:tblPr>
                                            <w:tblW w:w="5000" w:type="pct"/>
                                            <w:tblCellMar>
                                              <w:left w:w="0" w:type="dxa"/>
                                              <w:right w:w="0" w:type="dxa"/>
                                            </w:tblCellMar>
                                            <w:tblLook w:val="04A0"/>
                                          </w:tblPr>
                                          <w:tblGrid>
                                            <w:gridCol w:w="9000"/>
                                          </w:tblGrid>
                                          <w:tr w:rsidR="00D46C68">
                                            <w:tc>
                                              <w:tcPr>
                                                <w:tcW w:w="0" w:type="auto"/>
                                                <w:hideMark/>
                                              </w:tcPr>
                                              <w:p w:rsidR="00D46C68" w:rsidRDefault="00D46C68">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P.S.: Avez-vous déjà voté?</w:t>
                                                </w:r>
                                              </w:p>
                                            </w:tc>
                                          </w:tr>
                                          <w:tr w:rsidR="00D46C68">
                                            <w:trPr>
                                              <w:trHeight w:val="60"/>
                                            </w:trPr>
                                            <w:tc>
                                              <w:tcPr>
                                                <w:tcW w:w="0" w:type="auto"/>
                                                <w:vAlign w:val="center"/>
                                                <w:hideMark/>
                                              </w:tcPr>
                                              <w:p w:rsidR="00D46C68" w:rsidRDefault="00D46C68">
                                                <w:pPr>
                                                  <w:spacing w:line="75" w:lineRule="exact"/>
                                                  <w:rPr>
                                                    <w:rFonts w:eastAsia="Times New Roman"/>
                                                    <w:sz w:val="8"/>
                                                    <w:szCs w:val="8"/>
                                                  </w:rPr>
                                                </w:pPr>
                                                <w:r>
                                                  <w:rPr>
                                                    <w:rFonts w:eastAsia="Times New Roman"/>
                                                    <w:sz w:val="8"/>
                                                    <w:szCs w:val="8"/>
                                                  </w:rPr>
                                                  <w:softHyphen/>
                                                </w:r>
                                              </w:p>
                                            </w:tc>
                                          </w:tr>
                                        </w:tbl>
                                        <w:p w:rsidR="00D46C68" w:rsidRDefault="00D46C68">
                                          <w:pPr>
                                            <w:rPr>
                                              <w:rFonts w:eastAsia="Times New Roman"/>
                                              <w:color w:val="auto"/>
                                              <w:sz w:val="20"/>
                                              <w:szCs w:val="20"/>
                                            </w:rPr>
                                          </w:pPr>
                                        </w:p>
                                      </w:tc>
                                    </w:tr>
                                    <w:tr w:rsidR="00D46C68">
                                      <w:tc>
                                        <w:tcPr>
                                          <w:tcW w:w="0" w:type="auto"/>
                                          <w:vAlign w:val="center"/>
                                          <w:hideMark/>
                                        </w:tcPr>
                                        <w:tbl>
                                          <w:tblPr>
                                            <w:tblW w:w="5000" w:type="pct"/>
                                            <w:tblCellMar>
                                              <w:left w:w="0" w:type="dxa"/>
                                              <w:right w:w="0" w:type="dxa"/>
                                            </w:tblCellMar>
                                            <w:tblLook w:val="04A0"/>
                                          </w:tblPr>
                                          <w:tblGrid>
                                            <w:gridCol w:w="9000"/>
                                          </w:tblGrid>
                                          <w:tr w:rsidR="00D46C68">
                                            <w:tc>
                                              <w:tcPr>
                                                <w:tcW w:w="0" w:type="auto"/>
                                                <w:hideMark/>
                                              </w:tcPr>
                                              <w:p w:rsidR="00D46C68" w:rsidRDefault="00D46C68">
                                                <w:pPr>
                                                  <w:pStyle w:val="NormalWeb"/>
                                                  <w:rPr>
                                                    <w:rFonts w:ascii="Atkinson Hyperlegible" w:hAnsi="Atkinson Hyperlegible"/>
                                                    <w:sz w:val="30"/>
                                                    <w:szCs w:val="30"/>
                                                  </w:rPr>
                                                </w:pPr>
                                                <w:r>
                                                  <w:rPr>
                                                    <w:rFonts w:ascii="Atkinson Hyperlegible" w:hAnsi="Atkinson Hyperlegible"/>
                                                    <w:sz w:val="30"/>
                                                    <w:szCs w:val="30"/>
                                                  </w:rPr>
                                                  <w:t xml:space="preserve">N'oubliez pas: ce dimanche 8 mars aura lieu la votation populaire. Le comité fédératif de 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a décidé de recommander le rejet de l'initiative </w:t>
                                                </w:r>
                                                <w:proofErr w:type="spellStart"/>
                                                <w:r>
                                                  <w:rPr>
                                                    <w:rFonts w:ascii="Atkinson Hyperlegible" w:hAnsi="Atkinson Hyperlegible"/>
                                                    <w:sz w:val="30"/>
                                                    <w:szCs w:val="30"/>
                                                  </w:rPr>
                                                  <w:t>SSR</w:t>
                                                </w:r>
                                                <w:proofErr w:type="spellEnd"/>
                                                <w:r>
                                                  <w:rPr>
                                                    <w:rFonts w:ascii="Atkinson Hyperlegible" w:hAnsi="Atkinson Hyperlegible"/>
                                                    <w:sz w:val="30"/>
                                                    <w:szCs w:val="30"/>
                                                  </w:rPr>
                                                  <w:t>: elle menace la diversité et la qualité du service public médiatique suisse, et en cas d’acceptation de cette initiative, les personnes aveugles et malvoyantes seraient particulièrement touchées.</w:t>
                                                </w:r>
                                              </w:p>
                                              <w:p w:rsidR="00D46C68" w:rsidRDefault="00D46C68">
                                                <w:pPr>
                                                  <w:pStyle w:val="NormalWeb"/>
                                                  <w:rPr>
                                                    <w:rFonts w:ascii="Atkinson Hyperlegible" w:hAnsi="Atkinson Hyperlegible"/>
                                                    <w:sz w:val="30"/>
                                                    <w:szCs w:val="30"/>
                                                  </w:rPr>
                                                </w:pPr>
                                                <w:r>
                                                  <w:rPr>
                                                    <w:rFonts w:ascii="Atkinson Hyperlegible" w:hAnsi="Atkinson Hyperlegible"/>
                                                    <w:sz w:val="30"/>
                                                    <w:szCs w:val="30"/>
                                                  </w:rPr>
                                                  <w:t> </w:t>
                                                </w:r>
                                              </w:p>
                                              <w:p w:rsidR="00D46C68" w:rsidRDefault="00D46C68">
                                                <w:pPr>
                                                  <w:pStyle w:val="NormalWeb"/>
                                                  <w:rPr>
                                                    <w:rFonts w:ascii="Atkinson Hyperlegible" w:hAnsi="Atkinson Hyperlegible"/>
                                                    <w:sz w:val="30"/>
                                                    <w:szCs w:val="30"/>
                                                  </w:rPr>
                                                </w:pPr>
                                                <w:hyperlink r:id="rId15" w:tgtFrame="_blank" w:tooltip="Vers nos arguments" w:history="1">
                                                  <w:r>
                                                    <w:rPr>
                                                      <w:rStyle w:val="Lienhypertexte"/>
                                                      <w:rFonts w:ascii="Atkinson Hyperlegible" w:hAnsi="Atkinson Hyperlegible"/>
                                                      <w:sz w:val="30"/>
                                                      <w:szCs w:val="30"/>
                                                    </w:rPr>
                                                    <w:t>Retrouvez ici nos arguments</w:t>
                                                  </w:r>
                                                </w:hyperlink>
                                              </w:p>
                                            </w:tc>
                                          </w:tr>
                                          <w:tr w:rsidR="00D46C68">
                                            <w:trPr>
                                              <w:trHeight w:val="180"/>
                                            </w:trPr>
                                            <w:tc>
                                              <w:tcPr>
                                                <w:tcW w:w="0" w:type="auto"/>
                                                <w:vAlign w:val="center"/>
                                                <w:hideMark/>
                                              </w:tcPr>
                                              <w:p w:rsidR="00D46C68" w:rsidRDefault="00D46C68">
                                                <w:pPr>
                                                  <w:spacing w:line="225" w:lineRule="exact"/>
                                                  <w:rPr>
                                                    <w:rFonts w:eastAsia="Times New Roman"/>
                                                    <w:sz w:val="23"/>
                                                    <w:szCs w:val="23"/>
                                                  </w:rPr>
                                                </w:pPr>
                                                <w:r>
                                                  <w:rPr>
                                                    <w:rFonts w:eastAsia="Times New Roman"/>
                                                    <w:sz w:val="23"/>
                                                    <w:szCs w:val="23"/>
                                                  </w:rPr>
                                                  <w:softHyphen/>
                                                </w: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rPr>
                            <w:rFonts w:eastAsia="Times New Roman"/>
                            <w:color w:val="auto"/>
                            <w:sz w:val="20"/>
                            <w:szCs w:val="20"/>
                          </w:rPr>
                        </w:pPr>
                      </w:p>
                    </w:tc>
                  </w:tr>
                </w:tbl>
                <w:p w:rsidR="00D46C68" w:rsidRDefault="00D46C68">
                  <w:pPr>
                    <w:jc w:val="center"/>
                    <w:rPr>
                      <w:rFonts w:eastAsia="Times New Roman"/>
                      <w:color w:val="auto"/>
                      <w:sz w:val="20"/>
                      <w:szCs w:val="20"/>
                    </w:rPr>
                  </w:pPr>
                </w:p>
              </w:tc>
            </w:tr>
          </w:tbl>
          <w:p w:rsidR="00D46C68" w:rsidRDefault="00D46C68">
            <w:pPr>
              <w:rPr>
                <w:rFonts w:eastAsia="Times New Roman"/>
                <w:vanish/>
              </w:rPr>
            </w:pPr>
          </w:p>
          <w:p w:rsidR="00D46C68" w:rsidRDefault="00D46C68">
            <w:pPr>
              <w:jc w:val="center"/>
              <w:rPr>
                <w:rFonts w:eastAsia="Times New Roman"/>
                <w:color w:val="auto"/>
                <w:sz w:val="20"/>
                <w:szCs w:val="20"/>
              </w:rPr>
            </w:pPr>
          </w:p>
        </w:tc>
      </w:tr>
    </w:tbl>
    <w:p w:rsidR="00D46C68" w:rsidRDefault="00D46C68" w:rsidP="00D46C68">
      <w:pPr>
        <w:rPr>
          <w:rFonts w:eastAsia="Times New Roman"/>
          <w:color w:val="auto"/>
          <w:lang w:val="en-US"/>
        </w:rPr>
      </w:pPr>
    </w:p>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46C68"/>
    <w:rsid w:val="0017744C"/>
    <w:rsid w:val="00293468"/>
    <w:rsid w:val="00687751"/>
    <w:rsid w:val="00D46C68"/>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68"/>
    <w:pPr>
      <w:spacing w:after="0" w:line="240" w:lineRule="auto"/>
    </w:pPr>
    <w:rPr>
      <w:rFonts w:ascii="Times New Roman" w:hAnsi="Times New Roman" w:cs="Times New Roman"/>
      <w:color w:val="000000"/>
      <w:sz w:val="24"/>
      <w:szCs w:val="24"/>
      <w:lang w:eastAsia="fr-FR"/>
    </w:rPr>
  </w:style>
  <w:style w:type="paragraph" w:styleId="Titre1">
    <w:name w:val="heading 1"/>
    <w:basedOn w:val="Normal"/>
    <w:link w:val="Titre1Car"/>
    <w:uiPriority w:val="9"/>
    <w:qFormat/>
    <w:rsid w:val="00D46C68"/>
    <w:pPr>
      <w:outlineLvl w:val="0"/>
    </w:pPr>
    <w:rPr>
      <w:kern w:val="36"/>
      <w:sz w:val="48"/>
      <w:szCs w:val="48"/>
    </w:rPr>
  </w:style>
  <w:style w:type="paragraph" w:styleId="Titre2">
    <w:name w:val="heading 2"/>
    <w:basedOn w:val="Normal"/>
    <w:link w:val="Titre2Car"/>
    <w:uiPriority w:val="9"/>
    <w:unhideWhenUsed/>
    <w:qFormat/>
    <w:rsid w:val="00D46C68"/>
    <w:pPr>
      <w:outlineLvl w:val="1"/>
    </w:pPr>
    <w:rPr>
      <w:sz w:val="36"/>
      <w:szCs w:val="36"/>
    </w:rPr>
  </w:style>
  <w:style w:type="paragraph" w:styleId="Titre4">
    <w:name w:val="heading 4"/>
    <w:basedOn w:val="Normal"/>
    <w:link w:val="Titre4Car"/>
    <w:uiPriority w:val="9"/>
    <w:unhideWhenUsed/>
    <w:qFormat/>
    <w:rsid w:val="00D46C68"/>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C68"/>
    <w:rPr>
      <w:rFonts w:ascii="Times New Roman" w:hAnsi="Times New Roman" w:cs="Times New Roman"/>
      <w:color w:val="000000"/>
      <w:kern w:val="36"/>
      <w:sz w:val="48"/>
      <w:szCs w:val="48"/>
      <w:lang w:eastAsia="fr-FR"/>
    </w:rPr>
  </w:style>
  <w:style w:type="character" w:customStyle="1" w:styleId="Titre2Car">
    <w:name w:val="Titre 2 Car"/>
    <w:basedOn w:val="Policepardfaut"/>
    <w:link w:val="Titre2"/>
    <w:uiPriority w:val="9"/>
    <w:rsid w:val="00D46C68"/>
    <w:rPr>
      <w:rFonts w:ascii="Times New Roman" w:hAnsi="Times New Roman" w:cs="Times New Roman"/>
      <w:color w:val="000000"/>
      <w:sz w:val="36"/>
      <w:szCs w:val="36"/>
      <w:lang w:eastAsia="fr-FR"/>
    </w:rPr>
  </w:style>
  <w:style w:type="character" w:customStyle="1" w:styleId="Titre4Car">
    <w:name w:val="Titre 4 Car"/>
    <w:basedOn w:val="Policepardfaut"/>
    <w:link w:val="Titre4"/>
    <w:uiPriority w:val="9"/>
    <w:rsid w:val="00D46C68"/>
    <w:rPr>
      <w:rFonts w:ascii="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D46C68"/>
    <w:rPr>
      <w:color w:val="000000"/>
      <w:u w:val="single"/>
    </w:rPr>
  </w:style>
  <w:style w:type="paragraph" w:styleId="NormalWeb">
    <w:name w:val="Normal (Web)"/>
    <w:basedOn w:val="Normal"/>
    <w:uiPriority w:val="99"/>
    <w:unhideWhenUsed/>
    <w:rsid w:val="00D46C68"/>
  </w:style>
  <w:style w:type="paragraph" w:customStyle="1" w:styleId="default">
    <w:name w:val="default"/>
    <w:basedOn w:val="Normal"/>
    <w:uiPriority w:val="99"/>
    <w:semiHidden/>
    <w:rsid w:val="00D46C68"/>
  </w:style>
  <w:style w:type="paragraph" w:styleId="Textedebulles">
    <w:name w:val="Balloon Text"/>
    <w:basedOn w:val="Normal"/>
    <w:link w:val="TextedebullesCar"/>
    <w:uiPriority w:val="99"/>
    <w:semiHidden/>
    <w:unhideWhenUsed/>
    <w:rsid w:val="00D46C68"/>
    <w:rPr>
      <w:rFonts w:ascii="Tahoma" w:hAnsi="Tahoma" w:cs="Tahoma"/>
      <w:sz w:val="16"/>
      <w:szCs w:val="16"/>
    </w:rPr>
  </w:style>
  <w:style w:type="character" w:customStyle="1" w:styleId="TextedebullesCar">
    <w:name w:val="Texte de bulles Car"/>
    <w:basedOn w:val="Policepardfaut"/>
    <w:link w:val="Textedebulles"/>
    <w:uiPriority w:val="99"/>
    <w:semiHidden/>
    <w:rsid w:val="00D46C68"/>
    <w:rPr>
      <w:rFonts w:ascii="Tahoma"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divs>
    <w:div w:id="21209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hg9q.r.sp1-brevo.net/mk/cl/f/sh/SMK1E8tHeG7uj6AxLruaQjcqq93v/UuBUS_ipKOz4"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dhg9q.r.sp1-brevo.net/mk/cl/f/sh/SMK1E8tHeG13GxM0Ahl6KuK6rqTf/6F5SNqIYVH_q" TargetMode="External"/><Relationship Id="rId12" Type="http://schemas.openxmlformats.org/officeDocument/2006/relationships/hyperlink" Target="https://dhg9q.r.sp1-brevo.net/mk/cl/f/sh/SMK1E8tHeGLddNoriCDYcOEKmkER/8IGC_hLaMcU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dhg9q.r.sp1-brevo.net/mk/cl/f/sh/SMK1E8tHeGEmBEzuX244WYvaoReB/c-bpHa4n6O_z" TargetMode="External"/><Relationship Id="rId5" Type="http://schemas.openxmlformats.org/officeDocument/2006/relationships/image" Target="media/image1.png"/><Relationship Id="rId15" Type="http://schemas.openxmlformats.org/officeDocument/2006/relationships/hyperlink" Target="https://dhg9q.r.sp1-brevo.net/mk/cl/f/sh/SMK1E8tHeGZMXfSm4WWWo2pojLOx/zjl9t_Ya2RCg" TargetMode="External"/><Relationship Id="rId10" Type="http://schemas.openxmlformats.org/officeDocument/2006/relationships/hyperlink" Target="mailto:defensedesinterets@sbv-fsa.ch" TargetMode="External"/><Relationship Id="rId4" Type="http://schemas.openxmlformats.org/officeDocument/2006/relationships/hyperlink" Target="https://dhg9q.r.sp1-brevo.net/mk/cl/f/sh/SMK1E8tHeFuBooX2zXbcF51MtXtP/8LegUV6BixaD" TargetMode="External"/><Relationship Id="rId9" Type="http://schemas.openxmlformats.org/officeDocument/2006/relationships/image" Target="media/image3.jpeg"/><Relationship Id="rId14" Type="http://schemas.openxmlformats.org/officeDocument/2006/relationships/hyperlink" Target="https://dhg9q.r.sp1-brevo.net/mk/cl/f/sh/SMK1E8tHeGSV5WdotMN2iDX4l2oh/l9o1mLWSNtk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1260</Words>
  <Characters>6935</Characters>
  <Application>Microsoft Office Word</Application>
  <DocSecurity>0</DocSecurity>
  <Lines>57</Lines>
  <Paragraphs>16</Paragraphs>
  <ScaleCrop>false</ScaleCrop>
  <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2026-03-07T07:59:00Z</dcterms:created>
  <dcterms:modified xsi:type="dcterms:W3CDTF">2026-03-07T08:03:00Z</dcterms:modified>
</cp:coreProperties>
</file>