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C323F" w:rsidTr="00DC323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C323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bottom w:w="75" w:type="dxa"/>
                      <w:right w:w="0" w:type="dxa"/>
                    </w:tblCellMar>
                    <w:tblLook w:val="04A0"/>
                  </w:tblPr>
                  <w:tblGrid>
                    <w:gridCol w:w="5700"/>
                    <w:gridCol w:w="3300"/>
                  </w:tblGrid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p w:rsidR="00DC323F" w:rsidRDefault="00B31F2E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fldChar w:fldCharType="begin"/>
                        </w:r>
                        <w:r w:rsidR="00DC323F">
                          <w:rPr>
                            <w:rFonts w:eastAsia="Times New Roman"/>
                          </w:rPr>
                          <w:instrText xml:space="preserve"> HYPERLINK "https://sbv-fsa.ch/fr/newsletter/fsa-newsletter-fevrier-2022" </w:instrText>
                        </w:r>
                        <w:r>
                          <w:rPr>
                            <w:rFonts w:eastAsia="Times New Roman"/>
                          </w:rPr>
                          <w:fldChar w:fldCharType="separate"/>
                        </w:r>
                        <w:r w:rsidR="00DC323F">
                          <w:rPr>
                            <w:rStyle w:val="Lienhypertexte"/>
                            <w:rFonts w:eastAsia="Times New Roman"/>
                            <w:color w:val="000000"/>
                          </w:rPr>
                          <w:t xml:space="preserve">Consultez </w:t>
                        </w:r>
                        <w:proofErr w:type="gramStart"/>
                        <w:r w:rsidR="00DC323F">
                          <w:rPr>
                            <w:rStyle w:val="Lienhypertexte"/>
                            <w:rFonts w:eastAsia="Times New Roman"/>
                            <w:color w:val="000000"/>
                          </w:rPr>
                          <w:t>le</w:t>
                        </w:r>
                        <w:proofErr w:type="gramEnd"/>
                        <w:r w:rsidR="00DC323F">
                          <w:rPr>
                            <w:rStyle w:val="Lienhypertexte"/>
                            <w:rFonts w:eastAsia="Times New Roman"/>
                            <w:color w:val="000000"/>
                          </w:rPr>
                          <w:t xml:space="preserve"> newsletter dans votre navigateur</w:t>
                        </w:r>
                        <w:r>
                          <w:rPr>
                            <w:rFonts w:eastAsia="Times New Roman"/>
                          </w:rPr>
                          <w:fldChar w:fldCharType="end"/>
                        </w:r>
                      </w:p>
                    </w:tc>
                  </w:tr>
                  <w:tr w:rsidR="00DC323F">
                    <w:trPr>
                      <w:gridAfter w:val="1"/>
                      <w:wAfter w:w="8520" w:type="dxa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0018A8"/>
                        <w:tcMar>
                          <w:top w:w="150" w:type="dxa"/>
                          <w:left w:w="225" w:type="dxa"/>
                          <w:bottom w:w="150" w:type="dxa"/>
                          <w:right w:w="225" w:type="dxa"/>
                        </w:tcMar>
                        <w:vAlign w:val="center"/>
                      </w:tcPr>
                      <w:tbl>
                        <w:tblPr>
                          <w:tblpPr w:leftFromText="36" w:rightFromText="36" w:vertAnchor="text"/>
                          <w:tblW w:w="5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DC323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379980" cy="1172210"/>
                                    <wp:effectExtent l="19050" t="0" r="1270" b="0"/>
                                    <wp:docPr id="1" name="Image 1" descr="Logo SBV-FSA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 SBV-FS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9980" cy="1172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"/>
                        </w:tblGrid>
                        <w:tr w:rsidR="00DC323F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pPr w:leftFromText="36" w:rightFromText="36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22"/>
                        </w:tblGrid>
                        <w:tr w:rsidR="00DC323F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pStyle w:val="Titre1"/>
                                <w:jc w:val="center"/>
                                <w:rPr>
                                  <w:rFonts w:eastAsia="Times New Roman"/>
                                  <w:color w:val="FFFFFF"/>
                                  <w:sz w:val="51"/>
                                  <w:szCs w:val="51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  <w:sz w:val="51"/>
                                  <w:szCs w:val="51"/>
                                </w:rPr>
                                <w:t>Newsletter</w:t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323F" w:rsidRDefault="00DC323F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Bonjour, </w:t>
                  </w:r>
                </w:p>
                <w:p w:rsidR="00DC323F" w:rsidRDefault="00DC323F">
                  <w:pPr>
                    <w:pStyle w:val="NormalWeb"/>
                  </w:pPr>
                  <w:r>
                    <w:t>Le 9 mars se tiendra à Berne la manifestation, annoncée de longue date, des organisations suisses du handicap à l’occasion de l’examen de la mise en œuvre par la Suisse de la Convention de l’ONU relative aux droits des personnes handicapées (</w:t>
                  </w:r>
                  <w:proofErr w:type="spellStart"/>
                  <w:r>
                    <w:t>CDPH</w:t>
                  </w:r>
                  <w:proofErr w:type="spellEnd"/>
                  <w:r>
                    <w:t xml:space="preserve">). Les détails de cette manifestation sont désormais connus. Il est urgent d’améliorer les chances et les droits des personnes en situation de handicap en Suisse. </w:t>
                  </w:r>
                </w:p>
                <w:p w:rsidR="00DC323F" w:rsidRDefault="00DC323F">
                  <w:pPr>
                    <w:pStyle w:val="NormalWeb"/>
                  </w:pPr>
                  <w:r>
                    <w:t xml:space="preserve">Ceci dit, les exemples positifs ne manquent pas, comme en témoignent le programme de carrière </w:t>
                  </w:r>
                  <w:proofErr w:type="spellStart"/>
                  <w:r>
                    <w:t>MyAbility</w:t>
                  </w:r>
                  <w:proofErr w:type="spellEnd"/>
                  <w:r>
                    <w:t>, initié par les milieux économiques, ou encore, l’initiative des syndicats qui s’engagent pour davantage d’égalité des chances, notamment dans la formation et l’accessibilité des offres en ligne. Voyez à ce propos l’interview que nous reproduisons dans cette Newsletter. Enfin, dernier exemple en date d’une belle initiative au niveau local, celui de la ville de Thoune qui a décidé d’équiper ses ponts-écluses d’un système d’éclairage spécialement adapté aux personnes en situation de handicap visuel.</w:t>
                  </w:r>
                </w:p>
                <w:p w:rsidR="00DC323F" w:rsidRDefault="00DC323F">
                  <w:pPr>
                    <w:pStyle w:val="NormalWeb"/>
                  </w:pPr>
                  <w:r>
                    <w:t>Nous vous souhaitons bonne lecture!</w:t>
                  </w:r>
                </w:p>
                <w:p w:rsidR="00DC323F" w:rsidRDefault="00DC323F">
                  <w:pPr>
                    <w:pStyle w:val="NormalWeb"/>
                  </w:pPr>
                  <w:r>
                    <w:t>Cordialement</w:t>
                  </w:r>
                  <w:r>
                    <w:br/>
                    <w:t>L’équipe de rédaction</w:t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C3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Toutes et tous à Berne le 9 mars! </w:t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DC323F">
                          <w:tc>
                            <w:tcPr>
                              <w:tcW w:w="5000" w:type="pct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La mise en œuvre en Suisse de la Convention de l’ONU relative aux droits des personnes handicapées sera examinée par le Comité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CDPH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en mars. Pour que l’inclusion des personnes en situation de handicap avance enfin, nous nous rassemblerons le 9 mars à Berne pour faire valoir nos droits.</w:t>
                              </w:r>
                            </w:p>
                            <w:p w:rsidR="00DC323F" w:rsidRDefault="00B31F2E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7" w:tooltip="Toutes et tous à Berne le 9 mars!" w:history="1">
                                <w:r w:rsidR="00DC323F">
                                  <w:rPr>
                                    <w:rStyle w:val="Lienhypertexte"/>
                                    <w:rFonts w:eastAsia="Times New Roman"/>
                                  </w:rPr>
                                  <w:t>En savoir plus</w:t>
                                </w:r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sur Toutes et tous à Berne le 9 mars!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DC323F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52"/>
                        </w:tblGrid>
                        <w:tr w:rsidR="00DC323F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2020" cy="791210"/>
                                    <wp:effectExtent l="0" t="0" r="0" b="0"/>
                                    <wp:docPr id="2" name="Image 2" descr="Ensemble tout droit Logo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Ensemble tout droit 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2020" cy="7912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323F" w:rsidRDefault="00DC323F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C3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Dès 2022, intégration de la carte d’accompagnement au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SwissPass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des entreprises de transports publics </w:t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DC323F">
                          <w:tc>
                            <w:tcPr>
                              <w:tcW w:w="5000" w:type="pct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Dans le courant de l’année 2022, la carte </w:t>
                              </w:r>
                              <w:r>
                                <w:rPr>
                                  <w:rFonts w:eastAsia="Times New Roman"/>
                                </w:rPr>
                                <w:lastRenderedPageBreak/>
                                <w:t xml:space="preserve">d’accompagnement sera intégrée au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SwissPass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>. La migration a débuté en janvier et s’effectuera de manière échelonnée par canton de résidence.</w:t>
                              </w:r>
                            </w:p>
                            <w:p w:rsidR="00DC323F" w:rsidRDefault="00B31F2E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9" w:tooltip="Dès 2022, intégration de la carte d’accompagnement au SwissPass des entreprises de transports publics" w:history="1">
                                <w:r w:rsidR="00DC323F">
                                  <w:rPr>
                                    <w:rStyle w:val="Lienhypertexte"/>
                                    <w:rFonts w:eastAsia="Times New Roman"/>
                                  </w:rPr>
                                  <w:t>En savoir plus</w:t>
                                </w:r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sur Dès 2022, intégration de la carte d’accompagnement au </w:t>
                                </w:r>
                                <w:proofErr w:type="spellStart"/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SwissPass</w:t>
                                </w:r>
                                <w:proofErr w:type="spellEnd"/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des entreprises de transports publics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DC323F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2"/>
                        </w:tblGrid>
                        <w:tr w:rsidR="00DC323F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2020" cy="1541780"/>
                                    <wp:effectExtent l="19050" t="0" r="0" b="0"/>
                                    <wp:docPr id="3" name="Image 3" descr="carte d’accompagnement 2017-2020">
                                      <a:hlinkClick xmlns:a="http://schemas.openxmlformats.org/drawingml/2006/main" r:id="rId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arte d’accompagnement 2017-20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2020" cy="15417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323F" w:rsidRDefault="00DC323F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C3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Rendre les sites web accessibles à tous </w:t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DC323F">
                          <w:tc>
                            <w:tcPr>
                              <w:tcW w:w="5000" w:type="pct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Comment rendre les sites web accessibles aux personnes aveugles et malvoyantes? Dans cette interview, menée par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Daphna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Paz de Travail Suisse Formation (TSF), Miro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Dietiker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de MD Systems ainsi que Simon Bart (Défense des intérêts) et Luciano Butera (Technique &amp; Innovation) de la FSA nous expliquent dans quelle mesure l’accessibilité aide tout le monde et ce que signifie son intégration pour les prestataires de formation continue.</w:t>
                              </w:r>
                            </w:p>
                            <w:p w:rsidR="00DC323F" w:rsidRDefault="00B31F2E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11" w:tooltip="Rendre les sites web accessibles à tous" w:history="1">
                                <w:r w:rsidR="00DC323F">
                                  <w:rPr>
                                    <w:rStyle w:val="Lienhypertexte"/>
                                    <w:rFonts w:eastAsia="Times New Roman"/>
                                  </w:rPr>
                                  <w:t>En savoir plus</w:t>
                                </w:r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sur Rendre les sites web accessibles à tous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DC323F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2"/>
                        </w:tblGrid>
                        <w:tr w:rsidR="00DC323F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2020" cy="1143000"/>
                                    <wp:effectExtent l="19050" t="0" r="0" b="0"/>
                                    <wp:docPr id="4" name="Image 4" descr="Photo: Interview avec Simon Bart, Miro Dietiker et Luciano Butera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Photo: Interview avec Simon Bart, Miro Dietiker et Luciano Buter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2020" cy="1143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323F" w:rsidRDefault="00DC323F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C3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Programme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myAbility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Talent </w:t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DC323F">
                          <w:tc>
                            <w:tcPr>
                              <w:tcW w:w="5000" w:type="pct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Les étudiants et jeunes diplômés en situation de handicap ont à nouveau l’opportunité de participer au programme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myAbility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Talent. Ce programme de carrière, initié par la société de conseil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</w:rPr>
                                <w:t>BHP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</w:rPr>
                                <w:t xml:space="preserve"> et huit entreprises suisses, se propose de mettre en relation des étudiants et jeunes diplômés en situation de handicap ou souffrant d’une maladie chronique avec des entreprises leaders de Suisse.</w:t>
                              </w:r>
                            </w:p>
                            <w:p w:rsidR="00DC323F" w:rsidRDefault="00B31F2E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13" w:tooltip="Programme myAbility Talent" w:history="1">
                                <w:r w:rsidR="00DC323F">
                                  <w:rPr>
                                    <w:rStyle w:val="Lienhypertexte"/>
                                    <w:rFonts w:eastAsia="Times New Roman"/>
                                  </w:rPr>
                                  <w:t>En savoir plus</w:t>
                                </w:r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sur Programme </w:t>
                                </w:r>
                                <w:proofErr w:type="spellStart"/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myAbility</w:t>
                                </w:r>
                                <w:proofErr w:type="spellEnd"/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Talent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DC323F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2"/>
                        </w:tblGrid>
                        <w:tr w:rsidR="00DC323F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2020" cy="1236980"/>
                                    <wp:effectExtent l="19050" t="0" r="0" b="0"/>
                                    <wp:docPr id="5" name="Image 5" descr="Image symbolique MyAbility">
                                      <a:hlinkClick xmlns:a="http://schemas.openxmlformats.org/drawingml/2006/main" r:id="rId13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Image symbolique MyAbil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2020" cy="12369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323F" w:rsidRDefault="00DC323F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C3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Refonte du site web de la Défense des intérêts de la FSA </w:t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DC323F">
                          <w:tc>
                            <w:tcPr>
                              <w:tcW w:w="5000" w:type="pct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Au cours des dernières années, la Défense des intérêts de la FSA a traité d’une multitude de thèmes variés. Sur son nouveau site web, elle présente désormais toutes les activités et initiatives engagées en faveur des personnes aveugles et malvoyantes de Suisse.</w:t>
                              </w:r>
                            </w:p>
                            <w:p w:rsidR="00DC323F" w:rsidRDefault="00B31F2E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15" w:tooltip="Refonte du site web de la Défense des intérêts de la FSA" w:history="1">
                                <w:r w:rsidR="00DC323F">
                                  <w:rPr>
                                    <w:rStyle w:val="Lienhypertexte"/>
                                    <w:rFonts w:eastAsia="Times New Roman"/>
                                  </w:rPr>
                                  <w:t>En savoir plus</w:t>
                                </w:r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sur Refonte du site web de la </w:t>
                                </w:r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lastRenderedPageBreak/>
                                  <w:t>Défense des intérêts de la FSA</w:t>
                                </w:r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DC323F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2"/>
                        </w:tblGrid>
                        <w:tr w:rsidR="00DC323F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2020" cy="1219200"/>
                                    <wp:effectExtent l="19050" t="0" r="0" b="0"/>
                                    <wp:docPr id="6" name="Image 6" descr="site web de la Défense des intérêts">
                                      <a:hlinkClick xmlns:a="http://schemas.openxmlformats.org/drawingml/2006/main" r:id="rId1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site web de la Défense des intérêt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2020" cy="1219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323F" w:rsidRDefault="00DC323F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Spacing w:w="0" w:type="dxa"/>
                          <w:shd w:val="clear" w:color="auto" w:fill="0018A8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C32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18A8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pStyle w:val="Titre2"/>
                                <w:rPr>
                                  <w:rFonts w:eastAsia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E-Kiosk: mise à jour des versions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iOS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>Android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color w:val="FFFFFF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323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52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250"/>
                        </w:tblGrid>
                        <w:tr w:rsidR="00DC323F">
                          <w:tc>
                            <w:tcPr>
                              <w:tcW w:w="5000" w:type="pct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La mise à jour des applis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du E-Kiosk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>, attendue depuis quelque temps déjà, est enfin disponible. Grâce à l’actualisation des codes, l’exploitation en continu est dorénavant garantie. De plus, des améliorations optiques ainsi qu’une fonction de recherche et une fonction d’actualisation automatique pour les journaux ont été implémentées.</w:t>
                              </w:r>
                            </w:p>
                            <w:p w:rsidR="00DC323F" w:rsidRDefault="00B31F2E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</w:rPr>
                              </w:pPr>
                              <w:hyperlink r:id="rId17" w:tooltip="E-Kiosk: mise à jour des versions iOS et Android" w:history="1">
                                <w:r w:rsidR="00DC323F">
                                  <w:rPr>
                                    <w:rStyle w:val="Lienhypertexte"/>
                                    <w:rFonts w:eastAsia="Times New Roman"/>
                                  </w:rPr>
                                  <w:t>En savoir plus</w:t>
                                </w:r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sur E-Kiosk: mise à jour des versions </w:t>
                                </w:r>
                                <w:proofErr w:type="spellStart"/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iOS</w:t>
                                </w:r>
                                <w:proofErr w:type="spellEnd"/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 xml:space="preserve"> et </w:t>
                                </w:r>
                                <w:proofErr w:type="spellStart"/>
                                <w:r w:rsidR="00DC323F">
                                  <w:rPr>
                                    <w:rStyle w:val="visually-hidden"/>
                                    <w:rFonts w:eastAsia="Times New Roman"/>
                                    <w:color w:val="0000FF"/>
                                  </w:rPr>
                                  <w:t>Android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tbl>
                        <w:tblPr>
                          <w:tblpPr w:leftFromText="36" w:rightFromText="36" w:vertAnchor="text"/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DC323F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tbl>
                        <w:tblPr>
                          <w:tblpPr w:vertAnchor="text" w:tblpXSpec="right" w:tblpYSpec="center"/>
                          <w:tblW w:w="345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482"/>
                        </w:tblGrid>
                        <w:tr w:rsidR="00DC323F"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C323F" w:rsidRDefault="00DC323F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>
                                    <wp:extent cx="2192020" cy="2192020"/>
                                    <wp:effectExtent l="19050" t="0" r="0" b="0"/>
                                    <wp:docPr id="7" name="Image 7" descr="App Icon E-Kiosk">
                                      <a:hlinkClick xmlns:a="http://schemas.openxmlformats.org/drawingml/2006/main" r:id="rId1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App Icon E-Kios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2020" cy="21920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323F" w:rsidRDefault="00DC323F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9000" w:type="dxa"/>
                    <w:tblCellSpacing w:w="0" w:type="dxa"/>
                    <w:shd w:val="clear" w:color="auto" w:fill="0018A8"/>
                    <w:tblCellMar>
                      <w:top w:w="150" w:type="dxa"/>
                      <w:left w:w="225" w:type="dxa"/>
                      <w:bottom w:w="150" w:type="dxa"/>
                      <w:right w:w="225" w:type="dxa"/>
                    </w:tblCellMar>
                    <w:tblLook w:val="04A0"/>
                  </w:tblPr>
                  <w:tblGrid>
                    <w:gridCol w:w="9000"/>
                  </w:tblGrid>
                  <w:tr w:rsidR="00DC323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18A8"/>
                        <w:vAlign w:val="center"/>
                        <w:hideMark/>
                      </w:tcPr>
                      <w:p w:rsidR="00DC323F" w:rsidRDefault="00DC323F">
                        <w:pPr>
                          <w:pStyle w:val="Titre2"/>
                          <w:rPr>
                            <w:rFonts w:eastAsia="Times New Roman"/>
                            <w:color w:val="FFFFFF"/>
                          </w:rPr>
                        </w:pPr>
                        <w:r>
                          <w:rPr>
                            <w:rFonts w:eastAsia="Times New Roman"/>
                            <w:color w:val="FFFFFF"/>
                          </w:rPr>
                          <w:t>Nouvelles des régions</w:t>
                        </w:r>
                      </w:p>
                    </w:tc>
                  </w:tr>
                </w:tbl>
                <w:p w:rsidR="00DC323F" w:rsidRDefault="00B31F2E">
                  <w:pPr>
                    <w:rPr>
                      <w:rFonts w:eastAsia="Times New Roman"/>
                    </w:rPr>
                  </w:pPr>
                  <w:hyperlink r:id="rId19" w:history="1">
                    <w:r w:rsidR="00DC323F">
                      <w:rPr>
                        <w:rStyle w:val="Lienhypertexte"/>
                        <w:rFonts w:eastAsia="Times New Roman"/>
                      </w:rPr>
                      <w:t>Nouvel éclairage des ponts-écluses de la ville de Thoune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C323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323F" w:rsidRDefault="00DC323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323F" w:rsidRDefault="00DC323F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0018A8"/>
                    <w:tblCellMar>
                      <w:top w:w="150" w:type="dxa"/>
                      <w:left w:w="225" w:type="dxa"/>
                      <w:bottom w:w="150" w:type="dxa"/>
                      <w:right w:w="225" w:type="dxa"/>
                    </w:tblCellMar>
                    <w:tblLook w:val="04A0"/>
                  </w:tblPr>
                  <w:tblGrid>
                    <w:gridCol w:w="9000"/>
                  </w:tblGrid>
                  <w:tr w:rsidR="00DC323F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0018A8"/>
                        <w:vAlign w:val="center"/>
                        <w:hideMark/>
                      </w:tcPr>
                      <w:p w:rsidR="00DC323F" w:rsidRDefault="00DC323F">
                        <w:pPr>
                          <w:pStyle w:val="NormalWeb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La FSA est titulaire du label de qualité </w:t>
                        </w:r>
                        <w:proofErr w:type="spellStart"/>
                        <w:r>
                          <w:rPr>
                            <w:color w:val="FFFFFF"/>
                          </w:rPr>
                          <w:t>Zewo</w:t>
                        </w:r>
                        <w:proofErr w:type="spellEnd"/>
                        <w:r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noProof/>
                            <w:color w:val="FFFFFF"/>
                          </w:rPr>
                          <w:drawing>
                            <wp:inline distT="0" distB="0" distL="0" distR="0">
                              <wp:extent cx="474980" cy="504190"/>
                              <wp:effectExtent l="19050" t="0" r="1270" b="0"/>
                              <wp:docPr id="8" name="Image 8" descr="Zewo 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Zewo 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4980" cy="504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C323F" w:rsidRDefault="00DC323F">
                        <w:pPr>
                          <w:pStyle w:val="NormalWeb"/>
                          <w:rPr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color w:val="FFFFFF"/>
                            <w:sz w:val="19"/>
                            <w:szCs w:val="19"/>
                          </w:rPr>
                          <w:t xml:space="preserve">Vous recevez cet e-mail car vous êtes inscrit à la newsletter de la FSA. Si vous ne le souhaitez plus, cliquez sur </w:t>
                        </w:r>
                        <w:hyperlink r:id="rId21" w:history="1">
                          <w:r>
                            <w:rPr>
                              <w:rStyle w:val="Lienhypertexte"/>
                              <w:color w:val="FFFFFF"/>
                              <w:sz w:val="19"/>
                              <w:szCs w:val="19"/>
                            </w:rPr>
                            <w:t>désabonner</w:t>
                          </w:r>
                        </w:hyperlink>
                        <w:r>
                          <w:rPr>
                            <w:color w:val="FFFFFF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</w:tbl>
                <w:p w:rsidR="00DC323F" w:rsidRDefault="00DC323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C323F" w:rsidRDefault="00DC323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C323F" w:rsidRDefault="00DC323F" w:rsidP="00DC323F">
      <w:pPr>
        <w:rPr>
          <w:rFonts w:eastAsia="Times New Roman"/>
          <w:lang w:val="en-US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FBC"/>
    <w:multiLevelType w:val="multilevel"/>
    <w:tmpl w:val="B7C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D2E06"/>
    <w:multiLevelType w:val="multilevel"/>
    <w:tmpl w:val="953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10199"/>
    <w:multiLevelType w:val="multilevel"/>
    <w:tmpl w:val="E4B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05CFE"/>
    <w:multiLevelType w:val="multilevel"/>
    <w:tmpl w:val="9AE4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E045F"/>
    <w:multiLevelType w:val="multilevel"/>
    <w:tmpl w:val="E2A6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16358"/>
    <w:multiLevelType w:val="multilevel"/>
    <w:tmpl w:val="DEB4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C323F"/>
    <w:rsid w:val="0017744C"/>
    <w:rsid w:val="00182721"/>
    <w:rsid w:val="00687751"/>
    <w:rsid w:val="009D16A6"/>
    <w:rsid w:val="00B31F2E"/>
    <w:rsid w:val="00DC323F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3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C32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unhideWhenUsed/>
    <w:qFormat/>
    <w:rsid w:val="00DC32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C323F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323F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C32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C323F"/>
    <w:pPr>
      <w:spacing w:before="100" w:beforeAutospacing="1" w:after="100" w:afterAutospacing="1"/>
    </w:pPr>
  </w:style>
  <w:style w:type="character" w:customStyle="1" w:styleId="visually-hidden">
    <w:name w:val="visually-hidden"/>
    <w:basedOn w:val="Policepardfaut"/>
    <w:rsid w:val="00DC323F"/>
  </w:style>
  <w:style w:type="paragraph" w:styleId="Textedebulles">
    <w:name w:val="Balloon Text"/>
    <w:basedOn w:val="Normal"/>
    <w:link w:val="TextedebullesCar"/>
    <w:uiPriority w:val="99"/>
    <w:semiHidden/>
    <w:unhideWhenUsed/>
    <w:rsid w:val="00DC32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23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bv-fsa.ch/fr/newsletter/programme-myability-talent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sbv-fsa.ch/fr/newsletter/confirm/remove/9231/newsletter_fsa_fr/1645672201/D1EA1jjjw4cWU13zxm6NSIUYXdk-DhqaLekK142c5jw" TargetMode="External"/><Relationship Id="rId7" Type="http://schemas.openxmlformats.org/officeDocument/2006/relationships/hyperlink" Target="https://sbv-fsa.ch/fr/newsletter/toutes-et-tous-berne-le-9-mars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bv-fsa.ch/fr/newsletter/e-kiosk-mise-jour-des-versions-ios-et-android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bv-fsa.ch/fr/newsletter/rendre-les-sites-web-accessibles-tous" TargetMode="External"/><Relationship Id="rId5" Type="http://schemas.openxmlformats.org/officeDocument/2006/relationships/hyperlink" Target="www.sbv-fsa.ch" TargetMode="External"/><Relationship Id="rId15" Type="http://schemas.openxmlformats.org/officeDocument/2006/relationships/hyperlink" Target="https://sbv-fsa.ch/fr/newsletter/refonte-du-site-web-de-la-defense-des-interets-de-la-fs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sbv-fsa.ch/fr/newsletter/nouvel-eclairage-des-ponts-ecluses-de-la-ville-de-thou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bv-fsa.ch/fr/newsletter/des-2022-integration-de-la-carte-daccompagnement-au-swisspass-des-entreprises-de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3</cp:revision>
  <dcterms:created xsi:type="dcterms:W3CDTF">2022-02-24T08:01:00Z</dcterms:created>
  <dcterms:modified xsi:type="dcterms:W3CDTF">2022-02-24T08:23:00Z</dcterms:modified>
</cp:coreProperties>
</file>