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9072"/>
      </w:tblGrid>
      <w:tr w:rsidR="00FC3080" w:rsidTr="00FC3080">
        <w:tc>
          <w:tcPr>
            <w:tcW w:w="0" w:type="auto"/>
            <w:shd w:val="clear" w:color="auto" w:fill="FFFFFF"/>
            <w:vAlign w:val="center"/>
          </w:tcPr>
          <w:tbl>
            <w:tblPr>
              <w:tblW w:w="9000" w:type="dxa"/>
              <w:jc w:val="center"/>
              <w:tblCellMar>
                <w:left w:w="0" w:type="dxa"/>
                <w:right w:w="0" w:type="dxa"/>
              </w:tblCellMar>
              <w:tblLook w:val="04A0"/>
            </w:tblPr>
            <w:tblGrid>
              <w:gridCol w:w="9030"/>
            </w:tblGrid>
            <w:tr w:rsidR="00FC3080">
              <w:trPr>
                <w:jc w:val="center"/>
              </w:trPr>
              <w:tc>
                <w:tcPr>
                  <w:tcW w:w="0" w:type="auto"/>
                  <w:shd w:val="clear" w:color="auto" w:fill="FFFFFF"/>
                </w:tcPr>
                <w:tbl>
                  <w:tblPr>
                    <w:tblW w:w="5000" w:type="pct"/>
                    <w:jc w:val="center"/>
                    <w:tblCellMar>
                      <w:left w:w="0" w:type="dxa"/>
                      <w:right w:w="0" w:type="dxa"/>
                    </w:tblCellMar>
                    <w:tblLook w:val="04A0"/>
                  </w:tblPr>
                  <w:tblGrid>
                    <w:gridCol w:w="9030"/>
                  </w:tblGrid>
                  <w:tr w:rsidR="00FC3080">
                    <w:trPr>
                      <w:jc w:val="center"/>
                    </w:trPr>
                    <w:tc>
                      <w:tcPr>
                        <w:tcW w:w="0" w:type="auto"/>
                        <w:shd w:val="clear" w:color="auto" w:fill="FFFFFF"/>
                        <w:vAlign w:val="center"/>
                        <w:hideMark/>
                      </w:tcPr>
                      <w:tbl>
                        <w:tblPr>
                          <w:tblW w:w="5000" w:type="pct"/>
                          <w:tblCellMar>
                            <w:left w:w="0" w:type="dxa"/>
                            <w:right w:w="0" w:type="dxa"/>
                          </w:tblCellMar>
                          <w:tblLook w:val="04A0"/>
                        </w:tblPr>
                        <w:tblGrid>
                          <w:gridCol w:w="9030"/>
                        </w:tblGrid>
                        <w:tr w:rsidR="00FC3080">
                          <w:tc>
                            <w:tcPr>
                              <w:tcW w:w="5000" w:type="pct"/>
                              <w:hideMark/>
                            </w:tcPr>
                            <w:tbl>
                              <w:tblPr>
                                <w:tblW w:w="9000" w:type="dxa"/>
                                <w:tblCellMar>
                                  <w:left w:w="0" w:type="dxa"/>
                                  <w:right w:w="0" w:type="dxa"/>
                                </w:tblCellMar>
                                <w:tblLook w:val="04A0"/>
                              </w:tblPr>
                              <w:tblGrid>
                                <w:gridCol w:w="9000"/>
                              </w:tblGrid>
                              <w:tr w:rsidR="00FC3080">
                                <w:tc>
                                  <w:tcPr>
                                    <w:tcW w:w="0" w:type="auto"/>
                                    <w:vAlign w:val="center"/>
                                    <w:hideMark/>
                                  </w:tcPr>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vanish/>
                    </w:rPr>
                  </w:pPr>
                </w:p>
                <w:tbl>
                  <w:tblPr>
                    <w:tblW w:w="5000" w:type="pct"/>
                    <w:jc w:val="center"/>
                    <w:tblCellMar>
                      <w:left w:w="0" w:type="dxa"/>
                      <w:right w:w="0" w:type="dxa"/>
                    </w:tblCellMar>
                    <w:tblLook w:val="04A0"/>
                  </w:tblPr>
                  <w:tblGrid>
                    <w:gridCol w:w="9030"/>
                  </w:tblGrid>
                  <w:tr w:rsidR="00FC3080">
                    <w:trPr>
                      <w:jc w:val="center"/>
                    </w:trPr>
                    <w:tc>
                      <w:tcPr>
                        <w:tcW w:w="0" w:type="auto"/>
                        <w:shd w:val="clear" w:color="auto" w:fill="FFFFFF"/>
                        <w:tcMar>
                          <w:top w:w="300" w:type="dxa"/>
                          <w:left w:w="0" w:type="dxa"/>
                          <w:bottom w:w="375" w:type="dxa"/>
                          <w:right w:w="0" w:type="dxa"/>
                        </w:tcMar>
                        <w:vAlign w:val="center"/>
                        <w:hideMark/>
                      </w:tcPr>
                      <w:tbl>
                        <w:tblPr>
                          <w:tblW w:w="5000" w:type="pct"/>
                          <w:tblCellMar>
                            <w:left w:w="0" w:type="dxa"/>
                            <w:right w:w="0" w:type="dxa"/>
                          </w:tblCellMar>
                          <w:tblLook w:val="04A0"/>
                        </w:tblPr>
                        <w:tblGrid>
                          <w:gridCol w:w="9030"/>
                        </w:tblGrid>
                        <w:tr w:rsidR="00FC3080">
                          <w:tc>
                            <w:tcPr>
                              <w:tcW w:w="5000" w:type="pct"/>
                              <w:hideMark/>
                            </w:tcPr>
                            <w:tbl>
                              <w:tblPr>
                                <w:tblpPr w:vertAnchor="text"/>
                                <w:tblW w:w="3750" w:type="dxa"/>
                                <w:tblCellMar>
                                  <w:left w:w="0" w:type="dxa"/>
                                  <w:right w:w="0" w:type="dxa"/>
                                </w:tblCellMar>
                                <w:tblLook w:val="04A0"/>
                              </w:tblPr>
                              <w:tblGrid>
                                <w:gridCol w:w="3780"/>
                              </w:tblGrid>
                              <w:tr w:rsidR="00FC3080">
                                <w:tc>
                                  <w:tcPr>
                                    <w:tcW w:w="0" w:type="auto"/>
                                    <w:vAlign w:val="center"/>
                                    <w:hideMark/>
                                  </w:tcPr>
                                  <w:p w:rsidR="00FC3080" w:rsidRDefault="00FC3080">
                                    <w:pPr>
                                      <w:rPr>
                                        <w:rFonts w:eastAsia="Times New Roman"/>
                                      </w:rPr>
                                    </w:pPr>
                                    <w:r>
                                      <w:rPr>
                                        <w:rFonts w:eastAsia="Times New Roman"/>
                                        <w:noProof/>
                                      </w:rPr>
                                      <w:drawing>
                                        <wp:inline distT="0" distB="0" distL="0" distR="0">
                                          <wp:extent cx="2380615" cy="659130"/>
                                          <wp:effectExtent l="19050" t="0" r="635" b="0"/>
                                          <wp:docPr id="1" name="Image 1" descr="Logo des Schweizerischen Blinden- und Sehbehindertenverband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Schweizerischen Blinden- und Sehbehindertenverbands"/>
                                                  <pic:cNvPicPr>
                                                    <a:picLocks noChangeAspect="1" noChangeArrowheads="1"/>
                                                  </pic:cNvPicPr>
                                                </pic:nvPicPr>
                                                <pic:blipFill>
                                                  <a:blip r:embed="rId5"/>
                                                  <a:srcRect/>
                                                  <a:stretch>
                                                    <a:fillRect/>
                                                  </a:stretch>
                                                </pic:blipFill>
                                                <pic:spPr bwMode="auto">
                                                  <a:xfrm>
                                                    <a:off x="0" y="0"/>
                                                    <a:ext cx="2380615" cy="659130"/>
                                                  </a:xfrm>
                                                  <a:prstGeom prst="rect">
                                                    <a:avLst/>
                                                  </a:prstGeom>
                                                  <a:noFill/>
                                                  <a:ln w="9525">
                                                    <a:noFill/>
                                                    <a:miter lim="800000"/>
                                                    <a:headEnd/>
                                                    <a:tailEnd/>
                                                  </a:ln>
                                                </pic:spPr>
                                              </pic:pic>
                                            </a:graphicData>
                                          </a:graphic>
                                        </wp:inline>
                                      </w:drawing>
                                    </w: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vanish/>
                    </w:rPr>
                  </w:pPr>
                </w:p>
                <w:tbl>
                  <w:tblPr>
                    <w:tblW w:w="5000" w:type="pct"/>
                    <w:jc w:val="center"/>
                    <w:tblCellMar>
                      <w:left w:w="0" w:type="dxa"/>
                      <w:right w:w="0" w:type="dxa"/>
                    </w:tblCellMar>
                    <w:tblLook w:val="04A0"/>
                  </w:tblPr>
                  <w:tblGrid>
                    <w:gridCol w:w="9030"/>
                  </w:tblGrid>
                  <w:tr w:rsidR="00FC3080">
                    <w:trPr>
                      <w:jc w:val="center"/>
                    </w:trPr>
                    <w:tc>
                      <w:tcPr>
                        <w:tcW w:w="0" w:type="auto"/>
                        <w:shd w:val="clear" w:color="auto" w:fill="FFFFFF"/>
                        <w:tcMar>
                          <w:top w:w="0" w:type="dxa"/>
                          <w:left w:w="0" w:type="dxa"/>
                          <w:bottom w:w="180" w:type="dxa"/>
                          <w:right w:w="0" w:type="dxa"/>
                        </w:tcMar>
                        <w:vAlign w:val="center"/>
                        <w:hideMark/>
                      </w:tcPr>
                      <w:tbl>
                        <w:tblPr>
                          <w:tblW w:w="5000" w:type="pct"/>
                          <w:tblCellMar>
                            <w:left w:w="0" w:type="dxa"/>
                            <w:right w:w="0" w:type="dxa"/>
                          </w:tblCellMar>
                          <w:tblLook w:val="04A0"/>
                        </w:tblPr>
                        <w:tblGrid>
                          <w:gridCol w:w="9030"/>
                        </w:tblGrid>
                        <w:tr w:rsidR="00FC3080">
                          <w:tc>
                            <w:tcPr>
                              <w:tcW w:w="5000" w:type="pct"/>
                              <w:hideMark/>
                            </w:tcPr>
                            <w:tbl>
                              <w:tblPr>
                                <w:tblW w:w="5000" w:type="pct"/>
                                <w:tblCellMar>
                                  <w:left w:w="0" w:type="dxa"/>
                                  <w:right w:w="0" w:type="dxa"/>
                                </w:tblCellMar>
                                <w:tblLook w:val="04A0"/>
                              </w:tblPr>
                              <w:tblGrid>
                                <w:gridCol w:w="9030"/>
                              </w:tblGrid>
                              <w:tr w:rsidR="00FC3080">
                                <w:tc>
                                  <w:tcPr>
                                    <w:tcW w:w="0" w:type="auto"/>
                                    <w:hideMark/>
                                  </w:tcPr>
                                  <w:tbl>
                                    <w:tblPr>
                                      <w:tblW w:w="5000" w:type="pct"/>
                                      <w:tblCellMar>
                                        <w:left w:w="0" w:type="dxa"/>
                                        <w:right w:w="0" w:type="dxa"/>
                                      </w:tblCellMar>
                                      <w:tblLook w:val="04A0"/>
                                    </w:tblPr>
                                    <w:tblGrid>
                                      <w:gridCol w:w="9030"/>
                                    </w:tblGrid>
                                    <w:tr w:rsidR="00FC3080">
                                      <w:tc>
                                        <w:tcPr>
                                          <w:tcW w:w="0" w:type="auto"/>
                                          <w:vAlign w:val="center"/>
                                          <w:hideMark/>
                                        </w:tcPr>
                                        <w:tbl>
                                          <w:tblPr>
                                            <w:tblW w:w="9000" w:type="dxa"/>
                                            <w:jc w:val="center"/>
                                            <w:tblCellMar>
                                              <w:left w:w="0" w:type="dxa"/>
                                              <w:right w:w="0" w:type="dxa"/>
                                            </w:tblCellMar>
                                            <w:tblLook w:val="04A0"/>
                                          </w:tblPr>
                                          <w:tblGrid>
                                            <w:gridCol w:w="9030"/>
                                          </w:tblGrid>
                                          <w:tr w:rsidR="00FC3080">
                                            <w:trPr>
                                              <w:jc w:val="center"/>
                                            </w:trPr>
                                            <w:tc>
                                              <w:tcPr>
                                                <w:tcW w:w="0" w:type="auto"/>
                                                <w:vAlign w:val="center"/>
                                                <w:hideMark/>
                                              </w:tcPr>
                                              <w:p w:rsidR="00FC3080" w:rsidRDefault="00FC3080">
                                                <w:pPr>
                                                  <w:spacing w:after="180"/>
                                                  <w:rPr>
                                                    <w:rFonts w:eastAsia="Times New Roman"/>
                                                  </w:rPr>
                                                </w:pPr>
                                                <w:r>
                                                  <w:rPr>
                                                    <w:rFonts w:eastAsia="Times New Roman"/>
                                                    <w:noProof/>
                                                  </w:rPr>
                                                  <w:drawing>
                                                    <wp:inline distT="0" distB="0" distL="0" distR="0">
                                                      <wp:extent cx="5714365" cy="3209290"/>
                                                      <wp:effectExtent l="19050" t="0" r="635" b="0"/>
                                                      <wp:docPr id="2" name="Image 2" descr="Feu d'artifice coloré dans le ciel nocturne s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u d'artifice coloré dans le ciel nocturne sombre"/>
                                                              <pic:cNvPicPr>
                                                                <a:picLocks noChangeAspect="1" noChangeArrowheads="1"/>
                                                              </pic:cNvPicPr>
                                                            </pic:nvPicPr>
                                                            <pic:blipFill>
                                                              <a:blip r:embed="rId6"/>
                                                              <a:srcRect/>
                                                              <a:stretch>
                                                                <a:fillRect/>
                                                              </a:stretch>
                                                            </pic:blipFill>
                                                            <pic:spPr bwMode="auto">
                                                              <a:xfrm>
                                                                <a:off x="0" y="0"/>
                                                                <a:ext cx="5714365" cy="3209290"/>
                                                              </a:xfrm>
                                                              <a:prstGeom prst="rect">
                                                                <a:avLst/>
                                                              </a:prstGeom>
                                                              <a:noFill/>
                                                              <a:ln w="9525">
                                                                <a:noFill/>
                                                                <a:miter lim="800000"/>
                                                                <a:headEnd/>
                                                                <a:tailEnd/>
                                                              </a:ln>
                                                            </pic:spPr>
                                                          </pic:pic>
                                                        </a:graphicData>
                                                      </a:graphic>
                                                    </wp:inline>
                                                  </w:drawing>
                                                </w:r>
                                              </w:p>
                                            </w:tc>
                                          </w:tr>
                                        </w:tbl>
                                        <w:p w:rsidR="00FC3080" w:rsidRDefault="00FC3080">
                                          <w:pPr>
                                            <w:jc w:val="center"/>
                                            <w:rPr>
                                              <w:rFonts w:eastAsia="Times New Roman"/>
                                              <w:color w:val="auto"/>
                                              <w:sz w:val="20"/>
                                              <w:szCs w:val="20"/>
                                            </w:rPr>
                                          </w:pPr>
                                        </w:p>
                                      </w:tc>
                                    </w:tr>
                                    <w:tr w:rsidR="00FC3080">
                                      <w:tc>
                                        <w:tcPr>
                                          <w:tcW w:w="0" w:type="auto"/>
                                          <w:tcMar>
                                            <w:top w:w="225" w:type="dxa"/>
                                            <w:left w:w="0" w:type="dxa"/>
                                            <w:bottom w:w="0" w:type="dxa"/>
                                            <w:right w:w="0" w:type="dxa"/>
                                          </w:tcMar>
                                          <w:vAlign w:val="center"/>
                                          <w:hideMark/>
                                        </w:tcPr>
                                        <w:p w:rsidR="00FC3080" w:rsidRDefault="00FC3080">
                                          <w:pPr>
                                            <w:pStyle w:val="Titre1"/>
                                            <w:rPr>
                                              <w:rFonts w:ascii="Verdana" w:eastAsia="Times New Roman" w:hAnsi="Verdana"/>
                                              <w:sz w:val="63"/>
                                              <w:szCs w:val="63"/>
                                            </w:rPr>
                                          </w:pPr>
                                          <w:r>
                                            <w:rPr>
                                              <w:rFonts w:ascii="Verdana" w:eastAsia="Times New Roman" w:hAnsi="Verdana"/>
                                              <w:sz w:val="63"/>
                                              <w:szCs w:val="63"/>
                                            </w:rPr>
                                            <w:t>Bonne année et meilleurs vœux pour 2026!</w:t>
                                          </w:r>
                                        </w:p>
                                        <w:p w:rsidR="00FC3080" w:rsidRDefault="00FC3080">
                                          <w:pPr>
                                            <w:pStyle w:val="NormalWeb"/>
                                            <w:rPr>
                                              <w:rFonts w:ascii="Verdana" w:hAnsi="Verdana"/>
                                              <w:sz w:val="30"/>
                                              <w:szCs w:val="30"/>
                                            </w:rPr>
                                          </w:pPr>
                                          <w:r>
                                            <w:rPr>
                                              <w:rFonts w:ascii="Verdana" w:hAnsi="Verdana"/>
                                              <w:sz w:val="30"/>
                                              <w:szCs w:val="30"/>
                                            </w:rPr>
                                            <w:t> </w:t>
                                          </w:r>
                                        </w:p>
                                      </w:tc>
                                    </w:tr>
                                    <w:tr w:rsidR="00FC3080">
                                      <w:tc>
                                        <w:tcPr>
                                          <w:tcW w:w="0" w:type="auto"/>
                                          <w:tcMar>
                                            <w:top w:w="0" w:type="dxa"/>
                                            <w:left w:w="0" w:type="dxa"/>
                                            <w:bottom w:w="225" w:type="dxa"/>
                                            <w:right w:w="0" w:type="dxa"/>
                                          </w:tcMar>
                                          <w:vAlign w:val="center"/>
                                        </w:tcPr>
                                        <w:p w:rsidR="00FC3080" w:rsidRDefault="00FC3080">
                                          <w:pPr>
                                            <w:pStyle w:val="NormalWeb"/>
                                            <w:spacing w:after="300"/>
                                            <w:rPr>
                                              <w:rFonts w:ascii="Verdana" w:hAnsi="Verdana"/>
                                              <w:sz w:val="30"/>
                                              <w:szCs w:val="30"/>
                                            </w:rPr>
                                          </w:pPr>
                                          <w:r>
                                            <w:rPr>
                                              <w:rFonts w:ascii="Verdana" w:hAnsi="Verdana"/>
                                              <w:sz w:val="30"/>
                                              <w:szCs w:val="30"/>
                                            </w:rPr>
                                            <w:t xml:space="preserve">Bonjour, </w:t>
                                          </w:r>
                                        </w:p>
                                        <w:p w:rsidR="00FC3080" w:rsidRDefault="00FC3080">
                                          <w:pPr>
                                            <w:pStyle w:val="default"/>
                                            <w:rPr>
                                              <w:rFonts w:ascii="Verdana" w:hAnsi="Verdana"/>
                                              <w:sz w:val="30"/>
                                              <w:szCs w:val="30"/>
                                            </w:rPr>
                                          </w:pPr>
                                          <w:r>
                                            <w:rPr>
                                              <w:rFonts w:ascii="Verdana" w:hAnsi="Verdana"/>
                                              <w:sz w:val="30"/>
                                              <w:szCs w:val="30"/>
                                            </w:rPr>
                                            <w:t>L’année 2025 touche déjà à sa fin – une année riche en événements, jalonnée de moments précieux et de succès partagés. Revenons sur quelques faits marquants:</w:t>
                                          </w:r>
                                        </w:p>
                                        <w:p w:rsidR="00FC3080" w:rsidRDefault="00FC3080">
                                          <w:pPr>
                                            <w:pStyle w:val="default"/>
                                            <w:rPr>
                                              <w:rFonts w:ascii="Verdana" w:hAnsi="Verdana"/>
                                              <w:sz w:val="30"/>
                                              <w:szCs w:val="30"/>
                                            </w:rPr>
                                          </w:pPr>
                                        </w:p>
                                        <w:p w:rsidR="00FC3080" w:rsidRDefault="00FC3080">
                                          <w:pPr>
                                            <w:pStyle w:val="Titre2"/>
                                            <w:rPr>
                                              <w:rFonts w:ascii="Verdana" w:eastAsia="Times New Roman" w:hAnsi="Verdana"/>
                                              <w:sz w:val="42"/>
                                              <w:szCs w:val="42"/>
                                            </w:rPr>
                                          </w:pPr>
                                          <w:r>
                                            <w:rPr>
                                              <w:rFonts w:ascii="Verdana" w:eastAsia="Times New Roman" w:hAnsi="Verdana"/>
                                              <w:sz w:val="42"/>
                                              <w:szCs w:val="42"/>
                                            </w:rPr>
                                            <w:t>Le braille fête ses 200 ans</w:t>
                                          </w:r>
                                        </w:p>
                                        <w:p w:rsidR="00FC3080" w:rsidRDefault="00FC3080">
                                          <w:pPr>
                                            <w:pStyle w:val="default"/>
                                            <w:rPr>
                                              <w:rFonts w:ascii="Verdana" w:hAnsi="Verdana"/>
                                              <w:sz w:val="30"/>
                                              <w:szCs w:val="30"/>
                                            </w:rPr>
                                          </w:pPr>
                                          <w:r>
                                            <w:rPr>
                                              <w:rFonts w:ascii="Verdana" w:hAnsi="Verdana"/>
                                              <w:sz w:val="30"/>
                                              <w:szCs w:val="30"/>
                                            </w:rPr>
                                            <w:t xml:space="preserve">En 2025, nous avons célébré les 200 ans de l’écriture braille – une invention révolutionnaire qui a changé la donne face à la cécité et qui a permis aux personnes aveugles et malvoyantes d’accéder à l’éducation, à la </w:t>
                                          </w:r>
                                          <w:r>
                                            <w:rPr>
                                              <w:rFonts w:ascii="Verdana" w:hAnsi="Verdana"/>
                                              <w:sz w:val="30"/>
                                              <w:szCs w:val="30"/>
                                            </w:rPr>
                                            <w:lastRenderedPageBreak/>
                                            <w:t>lecture et à une vie autonome.</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 xml:space="preserve">Nous avons notamment commémoré ce bicentenaire en coéditant le jeu inclusif «Braille mit </w:t>
                                          </w:r>
                                          <w:proofErr w:type="spellStart"/>
                                          <w:r>
                                            <w:rPr>
                                              <w:rFonts w:ascii="Verdana" w:hAnsi="Verdana"/>
                                              <w:sz w:val="30"/>
                                              <w:szCs w:val="30"/>
                                            </w:rPr>
                                            <w:t>Weile</w:t>
                                          </w:r>
                                          <w:proofErr w:type="spellEnd"/>
                                          <w:r>
                                            <w:rPr>
                                              <w:rFonts w:ascii="Verdana" w:hAnsi="Verdana"/>
                                              <w:sz w:val="30"/>
                                              <w:szCs w:val="30"/>
                                            </w:rPr>
                                            <w:t xml:space="preserve">» (jeu de l’oie) et en publiant de </w:t>
                                          </w:r>
                                          <w:hyperlink r:id="rId7" w:history="1">
                                            <w:r>
                                              <w:rPr>
                                                <w:rStyle w:val="Lienhypertexte"/>
                                                <w:rFonts w:ascii="Verdana" w:hAnsi="Verdana"/>
                                                <w:sz w:val="30"/>
                                                <w:szCs w:val="30"/>
                                              </w:rPr>
                                              <w:t>nombreuses informations relatives au braille sur notre site web.</w:t>
                                            </w:r>
                                          </w:hyperlink>
                                        </w:p>
                                        <w:p w:rsidR="00FC3080" w:rsidRDefault="00FC3080">
                                          <w:pPr>
                                            <w:pStyle w:val="default"/>
                                            <w:rPr>
                                              <w:rFonts w:ascii="Verdana" w:hAnsi="Verdana"/>
                                              <w:sz w:val="30"/>
                                              <w:szCs w:val="30"/>
                                            </w:rPr>
                                          </w:pPr>
                                        </w:p>
                                        <w:p w:rsidR="00FC3080" w:rsidRDefault="00FC3080">
                                          <w:pPr>
                                            <w:pStyle w:val="Titre2"/>
                                            <w:rPr>
                                              <w:rFonts w:ascii="Verdana" w:eastAsia="Times New Roman" w:hAnsi="Verdana"/>
                                              <w:sz w:val="42"/>
                                              <w:szCs w:val="42"/>
                                            </w:rPr>
                                          </w:pPr>
                                          <w:r>
                                            <w:rPr>
                                              <w:rFonts w:ascii="Verdana" w:eastAsia="Times New Roman" w:hAnsi="Verdana"/>
                                              <w:sz w:val="42"/>
                                              <w:szCs w:val="42"/>
                                            </w:rPr>
                                            <w:t>Accessibilité numérique – vers une prise de conscience accrue</w:t>
                                          </w:r>
                                        </w:p>
                                        <w:p w:rsidR="00FC3080" w:rsidRDefault="00FC3080">
                                          <w:pPr>
                                            <w:pStyle w:val="default"/>
                                            <w:rPr>
                                              <w:rFonts w:ascii="Verdana" w:hAnsi="Verdana"/>
                                              <w:sz w:val="30"/>
                                              <w:szCs w:val="30"/>
                                            </w:rPr>
                                          </w:pPr>
                                          <w:r>
                                            <w:rPr>
                                              <w:rFonts w:ascii="Verdana" w:hAnsi="Verdana"/>
                                              <w:sz w:val="30"/>
                                              <w:szCs w:val="30"/>
                                            </w:rPr>
                                            <w:t>Notre département T&amp;I a été très sollicité cette année: de nombreuses entreprises nous ont demandé de tester l'accessibilité de leur site web et ont réservé des ateliers sur le thème de l'accessibilité numérique. Voilà qui témoigne d’une prise de conscience accrue pour ce sujet et d’un travail qui porte ses fruits.</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 xml:space="preserve">Grâce </w:t>
                                          </w:r>
                                          <w:hyperlink r:id="rId8" w:tgtFrame="_blank" w:history="1">
                                            <w:r>
                                              <w:rPr>
                                                <w:rStyle w:val="Lienhypertexte"/>
                                                <w:rFonts w:ascii="Verdana" w:hAnsi="Verdana"/>
                                                <w:sz w:val="30"/>
                                                <w:szCs w:val="30"/>
                                              </w:rPr>
                                              <w:t>à une vaste campagne sur les réseaux sociaux et à une page thématique en ligne sur l’accessibilité numérique</w:t>
                                            </w:r>
                                          </w:hyperlink>
                                          <w:r>
                                            <w:rPr>
                                              <w:rFonts w:ascii="Verdana" w:hAnsi="Verdana"/>
                                              <w:sz w:val="30"/>
                                              <w:szCs w:val="30"/>
                                            </w:rPr>
                                            <w:t>, nous avons par ailleurs mené un précieux travail d'information et de sensibilisation.</w:t>
                                          </w:r>
                                        </w:p>
                                        <w:p w:rsidR="00FC3080" w:rsidRDefault="00FC3080">
                                          <w:pPr>
                                            <w:pStyle w:val="default"/>
                                            <w:rPr>
                                              <w:rFonts w:ascii="Verdana" w:hAnsi="Verdana"/>
                                              <w:sz w:val="30"/>
                                              <w:szCs w:val="30"/>
                                            </w:rPr>
                                          </w:pPr>
                                        </w:p>
                                        <w:p w:rsidR="00FC3080" w:rsidRDefault="00FC3080">
                                          <w:pPr>
                                            <w:pStyle w:val="Titre2"/>
                                            <w:rPr>
                                              <w:rFonts w:ascii="Verdana" w:eastAsia="Times New Roman" w:hAnsi="Verdana"/>
                                              <w:sz w:val="42"/>
                                              <w:szCs w:val="42"/>
                                            </w:rPr>
                                          </w:pPr>
                                          <w:r>
                                            <w:rPr>
                                              <w:rFonts w:ascii="Verdana" w:eastAsia="Times New Roman" w:hAnsi="Verdana"/>
                                              <w:sz w:val="42"/>
                                              <w:szCs w:val="42"/>
                                            </w:rPr>
                                            <w:t>Journée de la canne blanche – des trottoirs sans obstacles</w:t>
                                          </w:r>
                                        </w:p>
                                        <w:p w:rsidR="00FC3080" w:rsidRDefault="00FC3080">
                                          <w:pPr>
                                            <w:pStyle w:val="default"/>
                                            <w:rPr>
                                              <w:rFonts w:ascii="Verdana" w:hAnsi="Verdana"/>
                                              <w:sz w:val="30"/>
                                              <w:szCs w:val="30"/>
                                            </w:rPr>
                                          </w:pPr>
                                          <w:r>
                                            <w:rPr>
                                              <w:rFonts w:ascii="Verdana" w:hAnsi="Verdana"/>
                                              <w:sz w:val="30"/>
                                              <w:szCs w:val="30"/>
                                            </w:rPr>
                                            <w:t xml:space="preserve">À l'occasion de la Journée de la canne blanche de cette année, consacrée au thème «Des trottoirs sans obstacles», nous avons mené un travail d'information dans de nombreuses localités suisses ainsi que sur la </w:t>
                                          </w:r>
                                          <w:hyperlink r:id="rId9" w:history="1">
                                            <w:r>
                                              <w:rPr>
                                                <w:rStyle w:val="Lienhypertexte"/>
                                                <w:rFonts w:ascii="Verdana" w:hAnsi="Verdana"/>
                                                <w:sz w:val="30"/>
                                                <w:szCs w:val="30"/>
                                              </w:rPr>
                                              <w:t>page thématique en ligne «Des trottoirs sans obstacles pour tous».</w:t>
                                            </w:r>
                                          </w:hyperlink>
                                          <w:r>
                                            <w:rPr>
                                              <w:rFonts w:ascii="Verdana" w:hAnsi="Verdana"/>
                                              <w:sz w:val="30"/>
                                              <w:szCs w:val="30"/>
                                            </w:rPr>
                                            <w:t> </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 xml:space="preserve">Les manifestations de nos sections ont attiré beaucoup de monde et une </w:t>
                                          </w:r>
                                          <w:hyperlink r:id="rId10" w:tgtFrame="_blank" w:tooltip="Regarder sur YouTube" w:history="1">
                                            <w:r>
                                              <w:rPr>
                                                <w:rStyle w:val="Lienhypertexte"/>
                                                <w:rFonts w:ascii="Verdana" w:hAnsi="Verdana"/>
                                                <w:sz w:val="30"/>
                                                <w:szCs w:val="30"/>
                                              </w:rPr>
                                              <w:t>vidéo diffusée sur les réseaux sociaux</w:t>
                                            </w:r>
                                          </w:hyperlink>
                                          <w:r>
                                            <w:rPr>
                                              <w:rFonts w:ascii="Verdana" w:hAnsi="Verdana"/>
                                              <w:sz w:val="30"/>
                                              <w:szCs w:val="30"/>
                                            </w:rPr>
                                            <w:t xml:space="preserve">, dans laquelle notre collaboratrice Daniela Moser se fraye un chemin à travers la gare de Berne à l’heure de pointe avec sa canne blanche, est même devenue «virale»: elle a été </w:t>
                                          </w:r>
                                          <w:r>
                                            <w:rPr>
                                              <w:rFonts w:ascii="Verdana" w:hAnsi="Verdana"/>
                                              <w:sz w:val="30"/>
                                              <w:szCs w:val="30"/>
                                            </w:rPr>
                                            <w:lastRenderedPageBreak/>
                                            <w:t xml:space="preserve">vue plus de 140 000 fois sur </w:t>
                                          </w:r>
                                          <w:proofErr w:type="spellStart"/>
                                          <w:r>
                                            <w:rPr>
                                              <w:rFonts w:ascii="Verdana" w:hAnsi="Verdana"/>
                                              <w:sz w:val="30"/>
                                              <w:szCs w:val="30"/>
                                            </w:rPr>
                                            <w:t>Instagram</w:t>
                                          </w:r>
                                          <w:proofErr w:type="spellEnd"/>
                                          <w:r>
                                            <w:rPr>
                                              <w:rFonts w:ascii="Verdana" w:hAnsi="Verdana"/>
                                              <w:sz w:val="30"/>
                                              <w:szCs w:val="30"/>
                                            </w:rPr>
                                            <w:t xml:space="preserve"> et </w:t>
                                          </w:r>
                                          <w:proofErr w:type="spellStart"/>
                                          <w:r>
                                            <w:rPr>
                                              <w:rFonts w:ascii="Verdana" w:hAnsi="Verdana"/>
                                              <w:sz w:val="30"/>
                                              <w:szCs w:val="30"/>
                                            </w:rPr>
                                            <w:t>Facebook</w:t>
                                          </w:r>
                                          <w:proofErr w:type="spellEnd"/>
                                          <w:r>
                                            <w:rPr>
                                              <w:rFonts w:ascii="Verdana" w:hAnsi="Verdana"/>
                                              <w:sz w:val="30"/>
                                              <w:szCs w:val="30"/>
                                            </w:rPr>
                                            <w:t xml:space="preserve"> et a reçu plus de 2 200 </w:t>
                                          </w:r>
                                          <w:proofErr w:type="spellStart"/>
                                          <w:r>
                                            <w:rPr>
                                              <w:rFonts w:ascii="Verdana" w:hAnsi="Verdana"/>
                                              <w:sz w:val="30"/>
                                              <w:szCs w:val="30"/>
                                            </w:rPr>
                                            <w:t>likes</w:t>
                                          </w:r>
                                          <w:proofErr w:type="spellEnd"/>
                                          <w:r>
                                            <w:rPr>
                                              <w:rFonts w:ascii="Verdana" w:hAnsi="Verdana"/>
                                              <w:sz w:val="30"/>
                                              <w:szCs w:val="30"/>
                                            </w:rPr>
                                            <w:t>, commentaires ou partages. Espérons que le message aura un effet durable et contribuera à un comportement plus respectueux.</w:t>
                                          </w:r>
                                        </w:p>
                                        <w:p w:rsidR="00FC3080" w:rsidRDefault="00FC3080">
                                          <w:pPr>
                                            <w:pStyle w:val="default"/>
                                            <w:rPr>
                                              <w:rFonts w:ascii="Verdana" w:hAnsi="Verdana"/>
                                              <w:sz w:val="30"/>
                                              <w:szCs w:val="30"/>
                                            </w:rPr>
                                          </w:pPr>
                                        </w:p>
                                        <w:p w:rsidR="00FC3080" w:rsidRDefault="00FC3080">
                                          <w:pPr>
                                            <w:pStyle w:val="Titre2"/>
                                            <w:rPr>
                                              <w:rFonts w:ascii="Verdana" w:eastAsia="Times New Roman" w:hAnsi="Verdana"/>
                                              <w:sz w:val="42"/>
                                              <w:szCs w:val="42"/>
                                            </w:rPr>
                                          </w:pPr>
                                          <w:r>
                                            <w:rPr>
                                              <w:rFonts w:ascii="Verdana" w:eastAsia="Times New Roman" w:hAnsi="Verdana"/>
                                              <w:sz w:val="42"/>
                                              <w:szCs w:val="42"/>
                                            </w:rPr>
                                            <w:t xml:space="preserve">Initiative sur l’inclusion et </w:t>
                                          </w:r>
                                          <w:proofErr w:type="spellStart"/>
                                          <w:r>
                                            <w:rPr>
                                              <w:rFonts w:ascii="Verdana" w:eastAsia="Times New Roman" w:hAnsi="Verdana"/>
                                              <w:sz w:val="42"/>
                                              <w:szCs w:val="42"/>
                                            </w:rPr>
                                            <w:t>LHand</w:t>
                                          </w:r>
                                          <w:proofErr w:type="spellEnd"/>
                                          <w:r>
                                            <w:rPr>
                                              <w:rFonts w:ascii="Verdana" w:eastAsia="Times New Roman" w:hAnsi="Verdana"/>
                                              <w:sz w:val="42"/>
                                              <w:szCs w:val="42"/>
                                            </w:rPr>
                                            <w:t xml:space="preserve"> – nous ne lâchons rien!</w:t>
                                          </w:r>
                                        </w:p>
                                        <w:p w:rsidR="00FC3080" w:rsidRDefault="00FC3080">
                                          <w:pPr>
                                            <w:pStyle w:val="default"/>
                                            <w:rPr>
                                              <w:rFonts w:ascii="Verdana" w:hAnsi="Verdana"/>
                                              <w:sz w:val="30"/>
                                              <w:szCs w:val="30"/>
                                            </w:rPr>
                                          </w:pPr>
                                          <w:r>
                                            <w:rPr>
                                              <w:rFonts w:ascii="Verdana" w:hAnsi="Verdana"/>
                                              <w:sz w:val="30"/>
                                              <w:szCs w:val="30"/>
                                            </w:rPr>
                                            <w:t>Le contre-projet indirect du Conseil fédéral à l’initiative pour l’inclusion s’est avéré largement en-deçà des attentes et doit être qualifié d’insuffisant. Tout comme la révision partielle de la loi sur l’égalité pour les personnes handicapées (</w:t>
                                          </w:r>
                                          <w:proofErr w:type="spellStart"/>
                                          <w:r>
                                            <w:rPr>
                                              <w:rFonts w:ascii="Verdana" w:hAnsi="Verdana"/>
                                              <w:sz w:val="30"/>
                                              <w:szCs w:val="30"/>
                                            </w:rPr>
                                            <w:t>LHand</w:t>
                                          </w:r>
                                          <w:proofErr w:type="spellEnd"/>
                                          <w:r>
                                            <w:rPr>
                                              <w:rFonts w:ascii="Verdana" w:hAnsi="Verdana"/>
                                              <w:sz w:val="30"/>
                                              <w:szCs w:val="30"/>
                                            </w:rPr>
                                            <w:t>), qui n’apporte toujours pas les améliorations souhaitées. Lors de la consultation, nous avons notamment pointé du doigt l’absence de règles contraignantes.</w:t>
                                          </w:r>
                                        </w:p>
                                        <w:p w:rsidR="00FC3080" w:rsidRDefault="00FC3080">
                                          <w:pPr>
                                            <w:pStyle w:val="default"/>
                                            <w:rPr>
                                              <w:rFonts w:ascii="Verdana" w:hAnsi="Verdana"/>
                                              <w:sz w:val="30"/>
                                              <w:szCs w:val="30"/>
                                            </w:rPr>
                                          </w:pPr>
                                          <w:r>
                                            <w:rPr>
                                              <w:rFonts w:ascii="Verdana" w:hAnsi="Verdana"/>
                                              <w:sz w:val="30"/>
                                              <w:szCs w:val="30"/>
                                            </w:rPr>
                                            <w:t>        </w:t>
                                          </w:r>
                                        </w:p>
                                        <w:p w:rsidR="00FC3080" w:rsidRDefault="00FC3080">
                                          <w:pPr>
                                            <w:pStyle w:val="default"/>
                                            <w:rPr>
                                              <w:rFonts w:ascii="Verdana" w:hAnsi="Verdana"/>
                                              <w:sz w:val="30"/>
                                              <w:szCs w:val="30"/>
                                            </w:rPr>
                                          </w:pPr>
                                          <w:r>
                                            <w:rPr>
                                              <w:rFonts w:ascii="Verdana" w:hAnsi="Verdana"/>
                                              <w:sz w:val="30"/>
                                              <w:szCs w:val="30"/>
                                            </w:rPr>
                                            <w:t>Alors que les délibérations sur ces deux projets de loi vont se poursuivre l’année prochaine, nous continuerons à nous engager avec détermination pour renforcer les droits des personnes en situation de handicap et promouvoir une véritable inclusion.</w:t>
                                          </w:r>
                                        </w:p>
                                        <w:p w:rsidR="00FC3080" w:rsidRDefault="00FC3080">
                                          <w:pPr>
                                            <w:pStyle w:val="default"/>
                                            <w:rPr>
                                              <w:rFonts w:ascii="Verdana" w:hAnsi="Verdana"/>
                                              <w:sz w:val="30"/>
                                              <w:szCs w:val="30"/>
                                            </w:rPr>
                                          </w:pPr>
                                        </w:p>
                                        <w:p w:rsidR="00FC3080" w:rsidRDefault="00FC3080">
                                          <w:pPr>
                                            <w:pStyle w:val="Titre2"/>
                                            <w:rPr>
                                              <w:rFonts w:ascii="Verdana" w:eastAsia="Times New Roman" w:hAnsi="Verdana"/>
                                              <w:sz w:val="42"/>
                                              <w:szCs w:val="42"/>
                                            </w:rPr>
                                          </w:pPr>
                                          <w:r>
                                            <w:rPr>
                                              <w:rFonts w:ascii="Verdana" w:eastAsia="Times New Roman" w:hAnsi="Verdana"/>
                                              <w:sz w:val="42"/>
                                              <w:szCs w:val="42"/>
                                            </w:rPr>
                                            <w:t>Bonne et heureuse nouvelle année!</w:t>
                                          </w:r>
                                        </w:p>
                                        <w:p w:rsidR="00FC3080" w:rsidRDefault="00FC3080">
                                          <w:pPr>
                                            <w:pStyle w:val="default"/>
                                            <w:rPr>
                                              <w:rFonts w:ascii="Verdana" w:hAnsi="Verdana"/>
                                              <w:sz w:val="30"/>
                                              <w:szCs w:val="30"/>
                                            </w:rPr>
                                          </w:pPr>
                                          <w:r>
                                            <w:rPr>
                                              <w:rFonts w:ascii="Verdana" w:hAnsi="Verdana"/>
                                              <w:sz w:val="30"/>
                                              <w:szCs w:val="30"/>
                                            </w:rPr>
                                            <w:t>Merci beaucoup pour votre confiance. Restons unis pour construire ensemble un avenir plus inclusif et égalitaire!</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Nous vous souhaitons de passer une belle soirée de réveillon et de bien commencer la nouvelle année. Que 2026 soit une année pétillante, riche en opportunités et succès partagés.</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Cordialement,</w:t>
                                          </w:r>
                                        </w:p>
                                        <w:p w:rsidR="00FC3080" w:rsidRDefault="00FC3080">
                                          <w:pPr>
                                            <w:pStyle w:val="default"/>
                                            <w:rPr>
                                              <w:rFonts w:ascii="Verdana" w:hAnsi="Verdana"/>
                                              <w:sz w:val="30"/>
                                              <w:szCs w:val="30"/>
                                            </w:rPr>
                                          </w:pPr>
                                        </w:p>
                                        <w:p w:rsidR="00FC3080" w:rsidRDefault="00FC3080">
                                          <w:pPr>
                                            <w:pStyle w:val="default"/>
                                            <w:rPr>
                                              <w:rFonts w:ascii="Verdana" w:hAnsi="Verdana"/>
                                              <w:sz w:val="30"/>
                                              <w:szCs w:val="30"/>
                                            </w:rPr>
                                          </w:pPr>
                                          <w:r>
                                            <w:rPr>
                                              <w:rFonts w:ascii="Verdana" w:hAnsi="Verdana"/>
                                              <w:sz w:val="30"/>
                                              <w:szCs w:val="30"/>
                                            </w:rPr>
                                            <w:t xml:space="preserve">Votre équipe </w:t>
                                          </w:r>
                                          <w:proofErr w:type="spellStart"/>
                                          <w:r>
                                            <w:rPr>
                                              <w:rFonts w:ascii="Verdana" w:hAnsi="Verdana"/>
                                              <w:sz w:val="30"/>
                                              <w:szCs w:val="30"/>
                                            </w:rPr>
                                            <w:t>fsa</w:t>
                                          </w:r>
                                          <w:proofErr w:type="spellEnd"/>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jc w:val="center"/>
                    <w:rPr>
                      <w:rFonts w:eastAsia="Times New Roman"/>
                      <w:color w:val="auto"/>
                      <w:sz w:val="20"/>
                      <w:szCs w:val="20"/>
                    </w:rPr>
                  </w:pPr>
                </w:p>
              </w:tc>
            </w:tr>
          </w:tbl>
          <w:p w:rsidR="00FC3080" w:rsidRDefault="00FC3080">
            <w:pPr>
              <w:rPr>
                <w:rFonts w:eastAsia="Times New Roman"/>
                <w:vanish/>
              </w:rPr>
            </w:pPr>
          </w:p>
          <w:tbl>
            <w:tblPr>
              <w:tblW w:w="5000" w:type="pct"/>
              <w:jc w:val="center"/>
              <w:tblCellMar>
                <w:left w:w="0" w:type="dxa"/>
                <w:right w:w="0" w:type="dxa"/>
              </w:tblCellMar>
              <w:tblLook w:val="04A0"/>
            </w:tblPr>
            <w:tblGrid>
              <w:gridCol w:w="9072"/>
            </w:tblGrid>
            <w:tr w:rsidR="00FC3080">
              <w:trPr>
                <w:trHeight w:val="600"/>
                <w:jc w:val="center"/>
              </w:trPr>
              <w:tc>
                <w:tcPr>
                  <w:tcW w:w="0" w:type="auto"/>
                  <w:vAlign w:val="center"/>
                  <w:hideMark/>
                </w:tcPr>
                <w:p w:rsidR="00FC3080" w:rsidRDefault="00FC3080">
                  <w:pPr>
                    <w:spacing w:line="750" w:lineRule="exact"/>
                    <w:rPr>
                      <w:rFonts w:eastAsia="Times New Roman"/>
                      <w:sz w:val="75"/>
                      <w:szCs w:val="75"/>
                    </w:rPr>
                  </w:pPr>
                  <w:r>
                    <w:rPr>
                      <w:rFonts w:eastAsia="Times New Roman"/>
                      <w:sz w:val="75"/>
                      <w:szCs w:val="75"/>
                    </w:rPr>
                    <w:softHyphen/>
                  </w:r>
                </w:p>
              </w:tc>
            </w:tr>
            <w:tr w:rsidR="00FC3080">
              <w:trPr>
                <w:jc w:val="center"/>
              </w:trPr>
              <w:tc>
                <w:tcPr>
                  <w:tcW w:w="0" w:type="auto"/>
                  <w:shd w:val="clear" w:color="auto" w:fill="DEDEFF"/>
                  <w:hideMark/>
                </w:tcPr>
                <w:tbl>
                  <w:tblPr>
                    <w:tblW w:w="9000" w:type="dxa"/>
                    <w:jc w:val="center"/>
                    <w:tblCellMar>
                      <w:left w:w="0" w:type="dxa"/>
                      <w:right w:w="0" w:type="dxa"/>
                    </w:tblCellMar>
                    <w:tblLook w:val="04A0"/>
                  </w:tblPr>
                  <w:tblGrid>
                    <w:gridCol w:w="9000"/>
                  </w:tblGrid>
                  <w:tr w:rsidR="00FC3080">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tblPr>
                        <w:tblGrid>
                          <w:gridCol w:w="9000"/>
                        </w:tblGrid>
                        <w:tr w:rsidR="00FC3080">
                          <w:tc>
                            <w:tcPr>
                              <w:tcW w:w="5000" w:type="pct"/>
                              <w:hideMark/>
                            </w:tcPr>
                            <w:tbl>
                              <w:tblPr>
                                <w:tblW w:w="5000" w:type="pct"/>
                                <w:tblCellMar>
                                  <w:left w:w="0" w:type="dxa"/>
                                  <w:right w:w="0" w:type="dxa"/>
                                </w:tblCellMar>
                                <w:tblLook w:val="04A0"/>
                              </w:tblPr>
                              <w:tblGrid>
                                <w:gridCol w:w="9000"/>
                              </w:tblGrid>
                              <w:tr w:rsidR="00FC3080">
                                <w:tc>
                                  <w:tcPr>
                                    <w:tcW w:w="0" w:type="auto"/>
                                    <w:hideMark/>
                                  </w:tcPr>
                                  <w:tbl>
                                    <w:tblPr>
                                      <w:tblW w:w="5000" w:type="pct"/>
                                      <w:tblCellMar>
                                        <w:left w:w="0" w:type="dxa"/>
                                        <w:right w:w="0" w:type="dxa"/>
                                      </w:tblCellMar>
                                      <w:tblLook w:val="04A0"/>
                                    </w:tblPr>
                                    <w:tblGrid>
                                      <w:gridCol w:w="9000"/>
                                    </w:tblGrid>
                                    <w:tr w:rsidR="00FC3080">
                                      <w:tc>
                                        <w:tcPr>
                                          <w:tcW w:w="0" w:type="auto"/>
                                          <w:vAlign w:val="center"/>
                                          <w:hideMark/>
                                        </w:tcPr>
                                        <w:tbl>
                                          <w:tblPr>
                                            <w:tblW w:w="2250" w:type="dxa"/>
                                            <w:tblCellMar>
                                              <w:left w:w="0" w:type="dxa"/>
                                              <w:right w:w="0" w:type="dxa"/>
                                            </w:tblCellMar>
                                            <w:tblLook w:val="04A0"/>
                                          </w:tblPr>
                                          <w:tblGrid>
                                            <w:gridCol w:w="2280"/>
                                          </w:tblGrid>
                                          <w:tr w:rsidR="00FC3080">
                                            <w:tc>
                                              <w:tcPr>
                                                <w:tcW w:w="0" w:type="auto"/>
                                                <w:vAlign w:val="center"/>
                                                <w:hideMark/>
                                              </w:tcPr>
                                              <w:p w:rsidR="00FC3080" w:rsidRDefault="00FC3080">
                                                <w:pPr>
                                                  <w:rPr>
                                                    <w:rFonts w:ascii="Atkinson Hyperlegible" w:eastAsia="Times New Roman" w:hAnsi="Atkinson Hyperlegible"/>
                                                    <w:sz w:val="30"/>
                                                    <w:szCs w:val="30"/>
                                                  </w:rPr>
                                                </w:pPr>
                                                <w:r>
                                                  <w:rPr>
                                                    <w:rFonts w:ascii="Atkinson Hyperlegible" w:eastAsia="Times New Roman" w:hAnsi="Atkinson Hyperlegible"/>
                                                    <w:noProof/>
                                                    <w:sz w:val="30"/>
                                                    <w:szCs w:val="30"/>
                                                  </w:rPr>
                                                  <w:lastRenderedPageBreak/>
                                                  <w:drawing>
                                                    <wp:inline distT="0" distB="0" distL="0" distR="0">
                                                      <wp:extent cx="1428750" cy="389890"/>
                                                      <wp:effectExtent l="19050" t="0" r="0" b="0"/>
                                                      <wp:docPr id="3" name="Image 3" descr="Logo des Schweizerischen Blinden- und Sehbehindertenverbands">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s Schweizerischen Blinden- und Sehbehindertenverbands"/>
                                                              <pic:cNvPicPr>
                                                                <a:picLocks noChangeAspect="1" noChangeArrowheads="1"/>
                                                              </pic:cNvPicPr>
                                                            </pic:nvPicPr>
                                                            <pic:blipFill>
                                                              <a:blip r:embed="rId5"/>
                                                              <a:srcRect/>
                                                              <a:stretch>
                                                                <a:fillRect/>
                                                              </a:stretch>
                                                            </pic:blipFill>
                                                            <pic:spPr bwMode="auto">
                                                              <a:xfrm>
                                                                <a:off x="0" y="0"/>
                                                                <a:ext cx="1428750" cy="389890"/>
                                                              </a:xfrm>
                                                              <a:prstGeom prst="rect">
                                                                <a:avLst/>
                                                              </a:prstGeom>
                                                              <a:noFill/>
                                                              <a:ln w="9525">
                                                                <a:noFill/>
                                                                <a:miter lim="800000"/>
                                                                <a:headEnd/>
                                                                <a:tailEnd/>
                                                              </a:ln>
                                                            </pic:spPr>
                                                          </pic:pic>
                                                        </a:graphicData>
                                                      </a:graphic>
                                                    </wp:inline>
                                                  </w:drawing>
                                                </w:r>
                                              </w:p>
                                            </w:tc>
                                          </w:tr>
                                        </w:tbl>
                                        <w:p w:rsidR="00FC3080" w:rsidRDefault="00FC3080">
                                          <w:pPr>
                                            <w:rPr>
                                              <w:rFonts w:eastAsia="Times New Roman"/>
                                              <w:color w:val="auto"/>
                                              <w:sz w:val="20"/>
                                              <w:szCs w:val="20"/>
                                            </w:rPr>
                                          </w:pPr>
                                        </w:p>
                                      </w:tc>
                                    </w:tr>
                                    <w:tr w:rsidR="00FC3080">
                                      <w:tc>
                                        <w:tcPr>
                                          <w:tcW w:w="0" w:type="auto"/>
                                          <w:tcMar>
                                            <w:top w:w="225" w:type="dxa"/>
                                            <w:left w:w="0" w:type="dxa"/>
                                            <w:bottom w:w="0" w:type="dxa"/>
                                            <w:right w:w="0" w:type="dxa"/>
                                          </w:tcMar>
                                          <w:vAlign w:val="center"/>
                                          <w:hideMark/>
                                        </w:tcPr>
                                        <w:p w:rsidR="00FC3080" w:rsidRDefault="00FC3080">
                                          <w:pPr>
                                            <w:pStyle w:val="Titre4"/>
                                            <w:rPr>
                                              <w:rFonts w:ascii="Atkinson Hyperlegible" w:eastAsia="Times New Roman" w:hAnsi="Atkinson Hyperlegible"/>
                                              <w:sz w:val="33"/>
                                              <w:szCs w:val="33"/>
                                            </w:rPr>
                                          </w:pPr>
                                          <w:r>
                                            <w:rPr>
                                              <w:rFonts w:ascii="Atkinson Hyperlegible" w:eastAsia="Times New Roman" w:hAnsi="Atkinson Hyperlegible"/>
                                              <w:sz w:val="33"/>
                                              <w:szCs w:val="33"/>
                                            </w:rPr>
                                            <w:t>Fédération suisse des</w:t>
                                          </w:r>
                                        </w:p>
                                        <w:p w:rsidR="00FC3080" w:rsidRDefault="00FC3080">
                                          <w:pPr>
                                            <w:pStyle w:val="Titre4"/>
                                            <w:rPr>
                                              <w:rFonts w:ascii="Atkinson Hyperlegible" w:eastAsia="Times New Roman" w:hAnsi="Atkinson Hyperlegible"/>
                                              <w:sz w:val="33"/>
                                              <w:szCs w:val="33"/>
                                            </w:rPr>
                                          </w:pPr>
                                          <w:proofErr w:type="gramStart"/>
                                          <w:r>
                                            <w:rPr>
                                              <w:rFonts w:ascii="Atkinson Hyperlegible" w:eastAsia="Times New Roman" w:hAnsi="Atkinson Hyperlegible"/>
                                              <w:sz w:val="33"/>
                                              <w:szCs w:val="33"/>
                                            </w:rPr>
                                            <w:t>aveugles</w:t>
                                          </w:r>
                                          <w:proofErr w:type="gramEnd"/>
                                          <w:r>
                                            <w:rPr>
                                              <w:rFonts w:ascii="Atkinson Hyperlegible" w:eastAsia="Times New Roman" w:hAnsi="Atkinson Hyperlegible"/>
                                              <w:sz w:val="33"/>
                                              <w:szCs w:val="33"/>
                                            </w:rPr>
                                            <w:t xml:space="preserve"> et malvoyants </w:t>
                                          </w:r>
                                          <w:proofErr w:type="spellStart"/>
                                          <w:r>
                                            <w:rPr>
                                              <w:rFonts w:ascii="Atkinson Hyperlegible" w:eastAsia="Times New Roman" w:hAnsi="Atkinson Hyperlegible"/>
                                              <w:sz w:val="33"/>
                                              <w:szCs w:val="33"/>
                                            </w:rPr>
                                            <w:t>fsa</w:t>
                                          </w:r>
                                          <w:proofErr w:type="spellEnd"/>
                                        </w:p>
                                      </w:tc>
                                    </w:tr>
                                    <w:tr w:rsidR="00FC3080">
                                      <w:tc>
                                        <w:tcPr>
                                          <w:tcW w:w="0" w:type="auto"/>
                                          <w:tcMar>
                                            <w:top w:w="225" w:type="dxa"/>
                                            <w:left w:w="0" w:type="dxa"/>
                                            <w:bottom w:w="225" w:type="dxa"/>
                                            <w:right w:w="0" w:type="dxa"/>
                                          </w:tcMar>
                                          <w:vAlign w:val="center"/>
                                          <w:hideMark/>
                                        </w:tcPr>
                                        <w:p w:rsidR="00FC3080" w:rsidRDefault="00FC3080">
                                          <w:pPr>
                                            <w:pStyle w:val="NormalWeb"/>
                                            <w:rPr>
                                              <w:rFonts w:ascii="Atkinson Hyperlegible" w:hAnsi="Atkinson Hyperlegible"/>
                                              <w:sz w:val="30"/>
                                              <w:szCs w:val="30"/>
                                            </w:rPr>
                                          </w:pPr>
                                          <w:proofErr w:type="spellStart"/>
                                          <w:r>
                                            <w:rPr>
                                              <w:rFonts w:ascii="Atkinson Hyperlegible" w:hAnsi="Atkinson Hyperlegible"/>
                                            </w:rPr>
                                            <w:t>Secréteriat</w:t>
                                          </w:r>
                                          <w:proofErr w:type="spellEnd"/>
                                          <w:r>
                                            <w:rPr>
                                              <w:rFonts w:ascii="Atkinson Hyperlegible" w:hAnsi="Atkinson Hyperlegible"/>
                                            </w:rPr>
                                            <w:t xml:space="preserve"> de direction, </w:t>
                                          </w:r>
                                          <w:proofErr w:type="spellStart"/>
                                          <w:r>
                                            <w:rPr>
                                              <w:rFonts w:ascii="Atkinson Hyperlegible" w:hAnsi="Atkinson Hyperlegible"/>
                                            </w:rPr>
                                            <w:t>Könizstrasse</w:t>
                                          </w:r>
                                          <w:proofErr w:type="spellEnd"/>
                                          <w:r>
                                            <w:rPr>
                                              <w:rFonts w:ascii="Atkinson Hyperlegible" w:hAnsi="Atkinson Hyperlegible"/>
                                            </w:rPr>
                                            <w:t xml:space="preserve"> 23, Case postale, 3001 Berne</w:t>
                                          </w:r>
                                          <w:r>
                                            <w:rPr>
                                              <w:rFonts w:ascii="Atkinson Hyperlegible" w:hAnsi="Atkinson Hyperlegible"/>
                                              <w:sz w:val="30"/>
                                              <w:szCs w:val="30"/>
                                            </w:rPr>
                                            <w:br/>
                                          </w:r>
                                          <w:r>
                                            <w:rPr>
                                              <w:rFonts w:ascii="Atkinson Hyperlegible" w:hAnsi="Atkinson Hyperlegible"/>
                                            </w:rPr>
                                            <w:t xml:space="preserve">Téléphone: 031 390 88 00 Courriel: </w:t>
                                          </w:r>
                                          <w:hyperlink r:id="rId12" w:tgtFrame="_blank" w:tooltip="info@sbv-fsa.ch" w:history="1">
                                            <w:r>
                                              <w:rPr>
                                                <w:rStyle w:val="Lienhypertexte"/>
                                                <w:rFonts w:ascii="Atkinson Hyperlegible" w:hAnsi="Atkinson Hyperlegible"/>
                                              </w:rPr>
                                              <w:t>info@sbv-fsa.ch</w:t>
                                            </w:r>
                                          </w:hyperlink>
                                        </w:p>
                                      </w:tc>
                                    </w:tr>
                                    <w:tr w:rsidR="00FC3080">
                                      <w:tc>
                                        <w:tcPr>
                                          <w:tcW w:w="0" w:type="auto"/>
                                          <w:vAlign w:val="center"/>
                                          <w:hideMark/>
                                        </w:tcPr>
                                        <w:tbl>
                                          <w:tblPr>
                                            <w:tblW w:w="750" w:type="dxa"/>
                                            <w:tblCellMar>
                                              <w:left w:w="0" w:type="dxa"/>
                                              <w:right w:w="0" w:type="dxa"/>
                                            </w:tblCellMar>
                                            <w:tblLook w:val="04A0"/>
                                          </w:tblPr>
                                          <w:tblGrid>
                                            <w:gridCol w:w="750"/>
                                          </w:tblGrid>
                                          <w:tr w:rsidR="00FC3080">
                                            <w:tc>
                                              <w:tcPr>
                                                <w:tcW w:w="0" w:type="auto"/>
                                                <w:vAlign w:val="center"/>
                                                <w:hideMark/>
                                              </w:tcPr>
                                              <w:p w:rsidR="00FC3080" w:rsidRDefault="00FC3080">
                                                <w:pPr>
                                                  <w:rPr>
                                                    <w:rFonts w:ascii="Atkinson Hyperlegible" w:eastAsia="Times New Roman" w:hAnsi="Atkinson Hyperlegible"/>
                                                    <w:sz w:val="30"/>
                                                    <w:szCs w:val="30"/>
                                                  </w:rPr>
                                                </w:pP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rPr>
                            <w:rFonts w:eastAsia="Times New Roman"/>
                            <w:color w:val="auto"/>
                            <w:sz w:val="20"/>
                            <w:szCs w:val="20"/>
                          </w:rPr>
                        </w:pPr>
                      </w:p>
                    </w:tc>
                  </w:tr>
                </w:tbl>
                <w:p w:rsidR="00FC3080" w:rsidRDefault="00FC3080">
                  <w:pPr>
                    <w:jc w:val="center"/>
                    <w:rPr>
                      <w:rFonts w:eastAsia="Times New Roman"/>
                      <w:color w:val="auto"/>
                      <w:sz w:val="20"/>
                      <w:szCs w:val="20"/>
                    </w:rPr>
                  </w:pPr>
                </w:p>
              </w:tc>
            </w:tr>
          </w:tbl>
          <w:p w:rsidR="00FC3080" w:rsidRDefault="00FC3080">
            <w:pPr>
              <w:jc w:val="center"/>
              <w:rPr>
                <w:rFonts w:eastAsia="Times New Roman"/>
                <w:color w:val="auto"/>
                <w:sz w:val="20"/>
                <w:szCs w:val="20"/>
              </w:rPr>
            </w:pPr>
          </w:p>
        </w:tc>
      </w:tr>
    </w:tbl>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tkinson Hyperlegib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1"/>
  <w:proofState w:spelling="clean" w:grammar="clean"/>
  <w:defaultTabStop w:val="708"/>
  <w:hyphenationZone w:val="425"/>
  <w:characterSpacingControl w:val="doNotCompress"/>
  <w:compat/>
  <w:rsids>
    <w:rsidRoot w:val="00FC3080"/>
    <w:rsid w:val="0017744C"/>
    <w:rsid w:val="00687751"/>
    <w:rsid w:val="008C45E3"/>
    <w:rsid w:val="00DF5EF5"/>
    <w:rsid w:val="00FC30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80"/>
    <w:pPr>
      <w:spacing w:after="0" w:line="240" w:lineRule="auto"/>
    </w:pPr>
    <w:rPr>
      <w:rFonts w:ascii="Times New Roman" w:hAnsi="Times New Roman" w:cs="Times New Roman"/>
      <w:color w:val="000000"/>
      <w:sz w:val="24"/>
      <w:szCs w:val="24"/>
      <w:lang w:eastAsia="fr-FR"/>
    </w:rPr>
  </w:style>
  <w:style w:type="paragraph" w:styleId="Titre1">
    <w:name w:val="heading 1"/>
    <w:basedOn w:val="Normal"/>
    <w:link w:val="Titre1Car"/>
    <w:uiPriority w:val="9"/>
    <w:qFormat/>
    <w:rsid w:val="00FC3080"/>
    <w:pPr>
      <w:outlineLvl w:val="0"/>
    </w:pPr>
    <w:rPr>
      <w:kern w:val="36"/>
      <w:sz w:val="48"/>
      <w:szCs w:val="48"/>
    </w:rPr>
  </w:style>
  <w:style w:type="paragraph" w:styleId="Titre2">
    <w:name w:val="heading 2"/>
    <w:basedOn w:val="Normal"/>
    <w:link w:val="Titre2Car"/>
    <w:uiPriority w:val="9"/>
    <w:semiHidden/>
    <w:unhideWhenUsed/>
    <w:qFormat/>
    <w:rsid w:val="00FC3080"/>
    <w:pPr>
      <w:outlineLvl w:val="1"/>
    </w:pPr>
    <w:rPr>
      <w:sz w:val="36"/>
      <w:szCs w:val="36"/>
    </w:rPr>
  </w:style>
  <w:style w:type="paragraph" w:styleId="Titre4">
    <w:name w:val="heading 4"/>
    <w:basedOn w:val="Normal"/>
    <w:link w:val="Titre4Car"/>
    <w:uiPriority w:val="9"/>
    <w:unhideWhenUsed/>
    <w:qFormat/>
    <w:rsid w:val="00FC3080"/>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080"/>
    <w:rPr>
      <w:rFonts w:ascii="Times New Roman" w:hAnsi="Times New Roman" w:cs="Times New Roman"/>
      <w:color w:val="000000"/>
      <w:kern w:val="36"/>
      <w:sz w:val="48"/>
      <w:szCs w:val="48"/>
      <w:lang w:eastAsia="fr-FR"/>
    </w:rPr>
  </w:style>
  <w:style w:type="character" w:customStyle="1" w:styleId="Titre2Car">
    <w:name w:val="Titre 2 Car"/>
    <w:basedOn w:val="Policepardfaut"/>
    <w:link w:val="Titre2"/>
    <w:uiPriority w:val="9"/>
    <w:semiHidden/>
    <w:rsid w:val="00FC3080"/>
    <w:rPr>
      <w:rFonts w:ascii="Times New Roman" w:hAnsi="Times New Roman" w:cs="Times New Roman"/>
      <w:color w:val="000000"/>
      <w:sz w:val="36"/>
      <w:szCs w:val="36"/>
      <w:lang w:eastAsia="fr-FR"/>
    </w:rPr>
  </w:style>
  <w:style w:type="character" w:customStyle="1" w:styleId="Titre4Car">
    <w:name w:val="Titre 4 Car"/>
    <w:basedOn w:val="Policepardfaut"/>
    <w:link w:val="Titre4"/>
    <w:uiPriority w:val="9"/>
    <w:rsid w:val="00FC3080"/>
    <w:rPr>
      <w:rFonts w:ascii="Times New Roman" w:hAnsi="Times New Roman" w:cs="Times New Roman"/>
      <w:color w:val="000000"/>
      <w:sz w:val="24"/>
      <w:szCs w:val="24"/>
      <w:lang w:eastAsia="fr-FR"/>
    </w:rPr>
  </w:style>
  <w:style w:type="character" w:styleId="Lienhypertexte">
    <w:name w:val="Hyperlink"/>
    <w:basedOn w:val="Policepardfaut"/>
    <w:uiPriority w:val="99"/>
    <w:semiHidden/>
    <w:unhideWhenUsed/>
    <w:rsid w:val="00FC3080"/>
    <w:rPr>
      <w:color w:val="000000"/>
      <w:u w:val="single"/>
    </w:rPr>
  </w:style>
  <w:style w:type="paragraph" w:styleId="NormalWeb">
    <w:name w:val="Normal (Web)"/>
    <w:basedOn w:val="Normal"/>
    <w:uiPriority w:val="99"/>
    <w:unhideWhenUsed/>
    <w:rsid w:val="00FC3080"/>
  </w:style>
  <w:style w:type="paragraph" w:customStyle="1" w:styleId="default">
    <w:name w:val="default"/>
    <w:basedOn w:val="Normal"/>
    <w:uiPriority w:val="99"/>
    <w:semiHidden/>
    <w:rsid w:val="00FC3080"/>
  </w:style>
  <w:style w:type="paragraph" w:styleId="Textedebulles">
    <w:name w:val="Balloon Text"/>
    <w:basedOn w:val="Normal"/>
    <w:link w:val="TextedebullesCar"/>
    <w:uiPriority w:val="99"/>
    <w:semiHidden/>
    <w:unhideWhenUsed/>
    <w:rsid w:val="00FC3080"/>
    <w:rPr>
      <w:rFonts w:ascii="Tahoma" w:hAnsi="Tahoma" w:cs="Tahoma"/>
      <w:sz w:val="16"/>
      <w:szCs w:val="16"/>
    </w:rPr>
  </w:style>
  <w:style w:type="character" w:customStyle="1" w:styleId="TextedebullesCar">
    <w:name w:val="Texte de bulles Car"/>
    <w:basedOn w:val="Policepardfaut"/>
    <w:link w:val="Textedebulles"/>
    <w:uiPriority w:val="99"/>
    <w:semiHidden/>
    <w:rsid w:val="00FC3080"/>
    <w:rPr>
      <w:rFonts w:ascii="Tahoma"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divs>
    <w:div w:id="16171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hg9q.r.sp1-brevo.net/mk/cl/f/sh/SMK1E8tHeG7uj6AxLruaQjcqq93v/zKt4PXLpVGj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hg9q.r.sp1-brevo.net/mk/cl/f/sh/SMK1E8tHeG13GxM0Ahl6KuK6rqTf/5fwVyFJwEEM7" TargetMode="External"/><Relationship Id="rId12" Type="http://schemas.openxmlformats.org/officeDocument/2006/relationships/hyperlink" Target="mailto:info@sbv-fsa.ch?subject=Anfr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hg9q.r.sp1-brevo.net/mk/cl/f/sh/SMK1E8tHeGSV5WdotMN2iDX4l2oh/0-Ahyboh3xSD" TargetMode="External"/><Relationship Id="rId5" Type="http://schemas.openxmlformats.org/officeDocument/2006/relationships/image" Target="media/image1.png"/><Relationship Id="rId10" Type="http://schemas.openxmlformats.org/officeDocument/2006/relationships/hyperlink" Target="https://dhg9q.r.sp1-brevo.net/mk/cl/f/sh/SMK1E8tHeGLddNoriCDYcOEKmkER/f6TDRsco004K" TargetMode="External"/><Relationship Id="rId4" Type="http://schemas.openxmlformats.org/officeDocument/2006/relationships/hyperlink" Target="https://dhg9q.r.sp1-brevo.net/mk/cl/f/sh/SMK1E8tHeFuBooX2zXbcF51MtXtP/4ASOfcFkhme-" TargetMode="External"/><Relationship Id="rId9" Type="http://schemas.openxmlformats.org/officeDocument/2006/relationships/hyperlink" Target="https://dhg9q.r.sp1-brevo.net/mk/cl/f/sh/SMK1E8tHeGEmBEzuX244WYvaoReB/wnEC5esHVo3p"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606</Words>
  <Characters>3339</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2026-01-01T09:11:00Z</dcterms:created>
  <dcterms:modified xsi:type="dcterms:W3CDTF">2026-01-01T09:12:00Z</dcterms:modified>
</cp:coreProperties>
</file>