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072"/>
      </w:tblGrid>
      <w:tr w:rsidR="0012134B" w:rsidTr="00F02024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2134B" w:rsidRDefault="0012134B" w:rsidP="00F02024"/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/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0" w:type="dxa"/>
                    <w:bottom w:w="3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pPr w:vertAnchor="text"/>
                          <w:tblW w:w="375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0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2134B" w:rsidRDefault="0012134B" w:rsidP="00F02024">
                              <w:r>
                                <w:rPr>
                                  <w:noProof/>
                                  <w:lang w:val="fr-FR" w:eastAsia="fr-FR"/>
                                </w:rPr>
                                <w:drawing>
                                  <wp:inline distT="0" distB="0" distL="0" distR="0">
                                    <wp:extent cx="5410200" cy="1495425"/>
                                    <wp:effectExtent l="19050" t="0" r="0" b="0"/>
                                    <wp:docPr id="1" name="Image 1" descr="https://dhg9q.img.a.d.sendibm1.com/im/sh/lXfBoSs3lvCr.png?u=7xwQLFBtniwQn1MBBl8KisefRHaKLwN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dhg9q.img.a.d.sendibm1.com/im/sh/lXfBoSs3lvCr.png?u=7xwQLFBtniwQn1MBBl8KisefRHaKLw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10200" cy="1495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/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2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2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after="180"/>
                                          </w:pPr>
                                          <w:r>
                                            <w:rPr>
                                              <w:noProof/>
                                              <w:lang w:val="fr-FR" w:eastAsia="fr-FR"/>
                                            </w:rPr>
                                            <w:drawing>
                                              <wp:inline distT="0" distB="0" distL="0" distR="0">
                                                <wp:extent cx="7620000" cy="4286250"/>
                                                <wp:effectExtent l="19050" t="0" r="0" b="0"/>
                                                <wp:docPr id="2" name="Image 2" descr="https://dhg9q.img.a.d.sendibm1.com/im/sh/aU6bWRgV9gUv.jpeg?u=7xwQLFBtniwQo17GT9ixCG1Vt0G53Ch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dhg9q.img.a.d.sendibm1.com/im/sh/aU6bWRgV9gUv.jpeg?u=7xwQLFBtniwQo17GT9ixCG1Vt0G53Ch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link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000" cy="4286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2134B" w:rsidRDefault="0012134B" w:rsidP="00F02024">
                                    <w:pPr>
                                      <w:pStyle w:val="Titre1"/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Autonomie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 xml:space="preserve"> chez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soi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et</w:t>
                                    </w:r>
                                    <w:proofErr w:type="gramEnd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dans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l’acte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 xml:space="preserve"> de vote pour les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personnes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63"/>
                                        <w:szCs w:val="63"/>
                                      </w:rPr>
                                      <w:t>malvoyantes</w:t>
                                    </w:r>
                                    <w:proofErr w:type="spellEnd"/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2134B" w:rsidRDefault="0012134B" w:rsidP="00F02024">
                                    <w:pPr>
                                      <w:pStyle w:val="NormalWeb"/>
                                      <w:spacing w:after="300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Bonjour, </w:t>
                                    </w: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lastRenderedPageBreak/>
                                      <w:t xml:space="preserve">Le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printemps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s’accompagne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d’un vent</w:t>
                                    </w:r>
                                    <w:proofErr w:type="gram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renouveau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. 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Grâce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aux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récentes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avancées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matière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vote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électronique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et à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une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modification de la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loi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sur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les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droits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politiques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décidée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par le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Conseil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États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l’un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nos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principaux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objectifs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se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concrétise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ouvre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la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voie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à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une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participation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politique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sans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barrières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permettant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aux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personnes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aveugles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malvoyantes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voter à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l’avenir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manière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autonome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dans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le respect du secret du vote.</w:t>
                                    </w: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 </w:t>
                                    </w: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Une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autre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bonne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nouvelle pour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nos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membres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: Coop a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prolongé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son action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permettant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aux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membres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fsa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bénéficier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livraison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gratuite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toute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commande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ligne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d’un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montant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minimum de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CHF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99.90.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Découvrez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comment en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profiter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dans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cette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newsletter. Et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bien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entendu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vous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trouverez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à nouveau un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aperçu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événements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à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venir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et des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rendez-vous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à ne pas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manquer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ainsi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que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conseils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astuces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une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vie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autonome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au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quotidien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.</w:t>
                                    </w: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Nous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vous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souhaitons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une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agréable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lecture et un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printemps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radieux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! </w:t>
                                    </w: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Cordialement</w:t>
                                    </w:r>
                                    <w:proofErr w:type="spellEnd"/>
                                  </w:p>
                                  <w:p w:rsidR="0012134B" w:rsidRDefault="0012134B" w:rsidP="00F02024">
                                    <w:pPr>
                                      <w:pStyle w:val="NormalWeb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L’équipe</w:t>
                                    </w:r>
                                    <w:proofErr w:type="spellEnd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  <w:t>rédaction</w:t>
                                    </w:r>
                                    <w:proofErr w:type="spellEnd"/>
                                  </w:p>
                                  <w:p w:rsidR="0012134B" w:rsidRDefault="0012134B" w:rsidP="00F02024">
                                    <w:pPr>
                                      <w:pStyle w:val="default"/>
                                      <w:rPr>
                                        <w:rFonts w:ascii="Atkinson Hyperlegible" w:hAnsi="Atkinson Hyperlegible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2134B" w:rsidRDefault="0012134B" w:rsidP="00F02024"/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/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34B" w:rsidRDefault="0012134B" w:rsidP="00F02024">
                  <w:pPr>
                    <w:spacing w:line="450" w:lineRule="exact"/>
                    <w:rPr>
                      <w:sz w:val="45"/>
                      <w:szCs w:val="45"/>
                    </w:rPr>
                  </w:pPr>
                  <w:r>
                    <w:rPr>
                      <w:sz w:val="45"/>
                      <w:szCs w:val="45"/>
                    </w:rPr>
                    <w:softHyphen/>
                  </w:r>
                </w:p>
              </w:tc>
            </w:tr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2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2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Titre2"/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Vote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électronique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progrès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matière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de participation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politique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6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75" w:lineRule="exact"/>
                                            <w:rPr>
                                              <w:sz w:val="8"/>
                                              <w:szCs w:val="8"/>
                                            </w:rPr>
                                          </w:pPr>
                                          <w:r>
                                            <w:rPr>
                                              <w:sz w:val="8"/>
                                              <w:szCs w:val="8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default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fsa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milite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depuis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années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pour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l’introduction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du vote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électronique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.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avec un handicap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visuel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doivent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effet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pouvoir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voter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manière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confidentielle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autonome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, 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droit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non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garanti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actuellement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. Entre-temps,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nombreuses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expériences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positives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ont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été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faites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plusieurs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cantons.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 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7" w:tgtFrame="_blank" w:tooltip="Vers l'article " w:history="1"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P</w:t>
                                            </w:r>
                                          </w:hyperlink>
                                          <w:hyperlink r:id="rId8" w:tgtFrame="_blank" w:tooltip="pourquoi le vote électronique est important pour nous" w:history="1"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ourquoi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le vote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électronique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est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important pour nous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18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225" w:lineRule="exac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trHeight w:val="34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34B" w:rsidRDefault="0012134B" w:rsidP="00F02024">
                  <w:pPr>
                    <w:spacing w:line="435" w:lineRule="exact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softHyphen/>
                  </w:r>
                </w:p>
              </w:tc>
            </w:tr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2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2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Titre2"/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Parlement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renforce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droits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politiques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atteintes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déficience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visuelle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6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75" w:lineRule="exact"/>
                                            <w:rPr>
                                              <w:sz w:val="8"/>
                                              <w:szCs w:val="8"/>
                                            </w:rPr>
                                          </w:pPr>
                                          <w:r>
                                            <w:rPr>
                                              <w:sz w:val="8"/>
                                              <w:szCs w:val="8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default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Autre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nouvelle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réjouissante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au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chapitre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droits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politiques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: le 12 mars, 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Conseil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États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approuvé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une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modification de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loi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fédérale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sur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lastRenderedPageBreak/>
                                            <w:t>droits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politiques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qui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permettra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aux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aveugles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malvoyantes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de voter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manière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autonome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le respect du secret de vote.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C’est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la première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fois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droit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sera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expressément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inscrit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loi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.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fsa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publié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conjointement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avec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l’UCBA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un communiqué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presse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lequel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nous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constatons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cette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décision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constitue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une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étape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importante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mais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d’autres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mesures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sont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nécessaires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pour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garantir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une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participation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politique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pleine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entière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. 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 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default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9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Vers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 le communiqué 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presse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18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225" w:lineRule="exac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lastRenderedPageBreak/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34B" w:rsidRDefault="0012134B" w:rsidP="00F02024">
                  <w:pPr>
                    <w:spacing w:line="450" w:lineRule="exact"/>
                    <w:rPr>
                      <w:sz w:val="45"/>
                      <w:szCs w:val="45"/>
                    </w:rPr>
                  </w:pPr>
                  <w:r>
                    <w:rPr>
                      <w:sz w:val="45"/>
                      <w:szCs w:val="45"/>
                    </w:rPr>
                    <w:softHyphen/>
                  </w:r>
                </w:p>
              </w:tc>
            </w:tr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66"/>
                    <w:gridCol w:w="6"/>
                  </w:tblGrid>
                  <w:tr w:rsidR="0012134B" w:rsidTr="00F02024">
                    <w:tc>
                      <w:tcPr>
                        <w:tcW w:w="33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66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66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66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Titre2"/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exclusivité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pour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membres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de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fsa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: faire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ses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achats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ligne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à la Coop sans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frais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livraison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6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75" w:lineRule="exact"/>
                                            <w:rPr>
                                              <w:sz w:val="8"/>
                                              <w:szCs w:val="8"/>
                                            </w:rPr>
                                          </w:pPr>
                                          <w:r>
                                            <w:rPr>
                                              <w:sz w:val="8"/>
                                              <w:szCs w:val="8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72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12134B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Pour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troisième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année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consécutive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, Coop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offre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avantage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exclusif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aux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membres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de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fsa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: 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partir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d'un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montant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minimum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commande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de 99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,90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CHF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,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frais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livraison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vous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sont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offerts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pour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toute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commande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passée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hyperlink r:id="rId10" w:history="1"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27"/>
                                                <w:szCs w:val="27"/>
                                              </w:rPr>
                                              <w:t>www.coop.ch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via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l'application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Coop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Supermarché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.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11" w:tgtFrame="_blank" w:tooltip="Commande des codes de bon d'achat Coop" w:history="1"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Commande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des codes de bon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d'achat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Coop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2134B" w:rsidTr="0012134B">
                                      <w:trPr>
                                        <w:trHeight w:val="180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225" w:lineRule="exac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  <w:tc>
                      <w:tcPr>
                        <w:tcW w:w="1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2134B" w:rsidTr="00F0202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34B" w:rsidRDefault="0012134B" w:rsidP="00F02024">
                  <w:pPr>
                    <w:spacing w:line="450" w:lineRule="exact"/>
                    <w:rPr>
                      <w:sz w:val="45"/>
                      <w:szCs w:val="45"/>
                    </w:rPr>
                  </w:pPr>
                  <w:r>
                    <w:rPr>
                      <w:sz w:val="45"/>
                      <w:szCs w:val="45"/>
                    </w:rPr>
                    <w:softHyphen/>
                  </w:r>
                </w:p>
              </w:tc>
            </w:tr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2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2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Titre2"/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Session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handicapées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2026: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l’inscription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est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ouverte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! </w:t>
                                          </w:r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6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75" w:lineRule="exact"/>
                                            <w:rPr>
                                              <w:sz w:val="8"/>
                                              <w:szCs w:val="8"/>
                                            </w:rPr>
                                          </w:pPr>
                                          <w:r>
                                            <w:rPr>
                                              <w:sz w:val="8"/>
                                              <w:szCs w:val="8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7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Le 21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octobre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2026, Pierre-André Page,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président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Conseil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national, invite à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deuxième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session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handicapées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au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Palais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fédéral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. Celle-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s’inscrit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continuité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de la première session de 2023.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buts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sont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renforcer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l’inclusion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consolider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la participation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politique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en situation de handicap.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intéressées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peuvent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déposer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leur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candidature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jusqu’au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19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avril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sur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le site internet de Pro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Infirmis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.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 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12" w:tgtFrame="_blank" w:tooltip="En savoir plus sur la session des personnes handicapées 20026" w:history="1"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En savoir plus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sur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la session des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personnes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handicapées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2026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18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225" w:lineRule="exac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/>
        </w:tc>
      </w:tr>
    </w:tbl>
    <w:p w:rsidR="0012134B" w:rsidRDefault="0012134B" w:rsidP="0012134B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072"/>
      </w:tblGrid>
      <w:tr w:rsidR="0012134B" w:rsidTr="00F02024">
        <w:trPr>
          <w:trHeight w:val="600"/>
          <w:jc w:val="center"/>
        </w:trPr>
        <w:tc>
          <w:tcPr>
            <w:tcW w:w="0" w:type="auto"/>
            <w:vAlign w:val="center"/>
            <w:hideMark/>
          </w:tcPr>
          <w:p w:rsidR="0012134B" w:rsidRDefault="0012134B" w:rsidP="00F02024">
            <w:pPr>
              <w:spacing w:line="750" w:lineRule="exact"/>
              <w:rPr>
                <w:sz w:val="75"/>
                <w:szCs w:val="75"/>
              </w:rPr>
            </w:pPr>
            <w:r>
              <w:rPr>
                <w:sz w:val="75"/>
                <w:szCs w:val="75"/>
              </w:rPr>
              <w:softHyphen/>
            </w:r>
          </w:p>
        </w:tc>
      </w:tr>
      <w:tr w:rsidR="0012134B" w:rsidTr="00F02024">
        <w:trPr>
          <w:jc w:val="center"/>
        </w:trPr>
        <w:tc>
          <w:tcPr>
            <w:tcW w:w="0" w:type="auto"/>
            <w:shd w:val="clear" w:color="auto" w:fill="DEDE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2134B" w:rsidRDefault="0012134B" w:rsidP="00F02024">
                              <w:pPr>
                                <w:pStyle w:val="Titre2"/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  <w:shd w:val="clear" w:color="auto" w:fill="FFFFFF"/>
                                </w:rPr>
                                <w:t>Événements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  <w:shd w:val="clear" w:color="auto" w:fill="FFFFFF"/>
                                </w:rPr>
                                <w:t>: </w:t>
                              </w:r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br/>
                                <w:t xml:space="preserve">Fête de la Saint-Jean à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Frauenfeld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: </w:t>
                              </w:r>
                              <w:proofErr w:type="gram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un</w:t>
                              </w:r>
                              <w:proofErr w:type="gram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événement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lastRenderedPageBreak/>
                                <w:t xml:space="preserve">accessible à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tous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notamment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grâce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à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fsa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134B" w:rsidRDefault="0012134B" w:rsidP="00F02024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12134B" w:rsidRDefault="0012134B" w:rsidP="00F02024">
                              <w:pPr>
                                <w:pStyle w:val="NormalWeb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Du 12 au 14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juin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,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cité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thurgovienne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Frauenfeld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accueillera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à nouveau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très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populaire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fête de la Saint-Jean.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Cette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fête se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veut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durable,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régionale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et inclusive. Nous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sommes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ravis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cette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année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,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fsa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apporte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son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soutien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l'équipe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d’organisation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du festival: son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équipe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du service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Technologie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&amp; Innovation 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notamment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testé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l’accessibilité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du site web de la fête de la Saint-Jean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organisé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un atelier client avec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démonstration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en direct. Sur le site du festival, les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visiteurs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visiteuses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trouveront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deux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scènes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, des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espaces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 détente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accueillants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offre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culinaire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variée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ainsi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possibilité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laisser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libre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cours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leur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créativité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:rsidR="0012134B" w:rsidRDefault="0012134B" w:rsidP="00F02024">
                              <w:pPr>
                                <w:pStyle w:val="NormalWeb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  <w:p w:rsidR="0012134B" w:rsidRDefault="0012134B" w:rsidP="00F02024">
                              <w:pPr>
                                <w:pStyle w:val="NormalWeb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  <w:hyperlink r:id="rId13" w:tgtFrame="_blank" w:tooltip="Voir le site internet de la Fête de la Saint-Jean à Frauenfeld (en allemand)" w:history="1">
                                <w:proofErr w:type="spellStart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</w:rPr>
                                  <w:t>Voir</w:t>
                                </w:r>
                                <w:proofErr w:type="spellEnd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</w:rPr>
                                  <w:t xml:space="preserve"> le site internet de la Fête de la Saint-Jean à </w:t>
                                </w:r>
                                <w:proofErr w:type="spellStart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</w:rPr>
                                  <w:t>Frauenfeld</w:t>
                                </w:r>
                                <w:proofErr w:type="spellEnd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</w:rPr>
                                  <w:t xml:space="preserve"> (en </w:t>
                                </w:r>
                                <w:proofErr w:type="spellStart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</w:rPr>
                                  <w:t>allemand</w:t>
                                </w:r>
                                <w:proofErr w:type="spellEnd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</w:rPr>
                                  <w:t>)</w:t>
                                </w:r>
                              </w:hyperlink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/>
              </w:tc>
            </w:tr>
          </w:tbl>
          <w:p w:rsidR="0012134B" w:rsidRDefault="0012134B" w:rsidP="00F02024"/>
        </w:tc>
      </w:tr>
      <w:tr w:rsidR="0012134B" w:rsidTr="00F02024">
        <w:trPr>
          <w:trHeight w:val="360"/>
          <w:jc w:val="center"/>
        </w:trPr>
        <w:tc>
          <w:tcPr>
            <w:tcW w:w="0" w:type="auto"/>
            <w:vAlign w:val="center"/>
            <w:hideMark/>
          </w:tcPr>
          <w:p w:rsidR="0012134B" w:rsidRDefault="0012134B" w:rsidP="00F02024">
            <w:pPr>
              <w:spacing w:line="450" w:lineRule="exact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lastRenderedPageBreak/>
              <w:softHyphen/>
            </w:r>
          </w:p>
        </w:tc>
      </w:tr>
    </w:tbl>
    <w:p w:rsidR="0012134B" w:rsidRDefault="0012134B" w:rsidP="0012134B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042"/>
      </w:tblGrid>
      <w:tr w:rsidR="0012134B" w:rsidTr="00F02024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42"/>
            </w:tblGrid>
            <w:tr w:rsidR="0012134B" w:rsidTr="00F0202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34B" w:rsidRDefault="0012134B" w:rsidP="00F02024">
                  <w:pPr>
                    <w:spacing w:line="450" w:lineRule="exact"/>
                    <w:rPr>
                      <w:sz w:val="45"/>
                      <w:szCs w:val="45"/>
                    </w:rPr>
                  </w:pPr>
                  <w:r>
                    <w:rPr>
                      <w:sz w:val="45"/>
                      <w:szCs w:val="45"/>
                    </w:rPr>
                    <w:softHyphen/>
                  </w:r>
                </w:p>
              </w:tc>
            </w:tr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6"/>
                    <w:gridCol w:w="6"/>
                  </w:tblGrid>
                  <w:tr w:rsidR="0012134B" w:rsidTr="00F02024">
                    <w:tc>
                      <w:tcPr>
                        <w:tcW w:w="33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6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36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36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Titre2"/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«Un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quotidien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bien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structuré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est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essentiel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6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75" w:lineRule="exact"/>
                                            <w:rPr>
                                              <w:sz w:val="8"/>
                                              <w:szCs w:val="8"/>
                                            </w:rPr>
                                          </w:pPr>
                                          <w:r>
                                            <w:rPr>
                                              <w:sz w:val="8"/>
                                              <w:szCs w:val="8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36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36"/>
                                    </w:tblGrid>
                                    <w:tr w:rsidR="0012134B" w:rsidTr="0012134B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Expert 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activités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de la vie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journalière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AVJ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)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ainsi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qu’en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orientation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mobilité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O&amp;M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), Felix Opel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accompagne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depuis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neuf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les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personnes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aveugles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malvoyantes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aspirant 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une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plus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grande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autonomie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. Il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explique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comment vivre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manière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autonome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 xml:space="preserve"> avec un handicap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visuel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27"/>
                                              <w:szCs w:val="27"/>
                                            </w:rPr>
                                            <w:t>.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14" w:tgtFrame="_blank" w:tooltip="Vers l'interview de Felix Opel" w:history="1"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27"/>
                                                <w:szCs w:val="27"/>
                                              </w:rPr>
                                              <w:t>Vers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27"/>
                                                <w:szCs w:val="27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27"/>
                                                <w:szCs w:val="27"/>
                                              </w:rPr>
                                              <w:t>l'interview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27"/>
                                                <w:szCs w:val="27"/>
                                              </w:rPr>
                                              <w:t xml:space="preserve"> de Felix Opel</w:t>
                                            </w:r>
                                            <w:r>
                                              <w:rPr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  <w:u w:val="single"/>
                                              </w:rPr>
                                              <w:br/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2134B" w:rsidTr="0012134B">
                                      <w:trPr>
                                        <w:trHeight w:val="180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225" w:lineRule="exac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  <w:tc>
                      <w:tcPr>
                        <w:tcW w:w="1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42"/>
            </w:tblGrid>
            <w:tr w:rsidR="0012134B" w:rsidTr="00F0202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34B" w:rsidRDefault="0012134B" w:rsidP="00F02024">
                  <w:pPr>
                    <w:spacing w:line="450" w:lineRule="exact"/>
                    <w:rPr>
                      <w:sz w:val="45"/>
                      <w:szCs w:val="45"/>
                    </w:rPr>
                  </w:pPr>
                  <w:r>
                    <w:rPr>
                      <w:sz w:val="45"/>
                      <w:szCs w:val="45"/>
                    </w:rPr>
                    <w:softHyphen/>
                  </w:r>
                </w:p>
              </w:tc>
            </w:tr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42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42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42"/>
                              </w:tblGrid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4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Titre2"/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Servir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 xml:space="preserve"> le noir au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42"/>
                                              <w:szCs w:val="42"/>
                                            </w:rPr>
                                            <w:t>Blindekuh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6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75" w:lineRule="exact"/>
                                            <w:rPr>
                                              <w:sz w:val="8"/>
                                              <w:szCs w:val="8"/>
                                            </w:rPr>
                                          </w:pPr>
                                          <w:r>
                                            <w:rPr>
                                              <w:sz w:val="8"/>
                                              <w:szCs w:val="8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  <w:tr w:rsidR="0012134B" w:rsidTr="00F02024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42"/>
                                    </w:tblGrid>
                                    <w:tr w:rsidR="0012134B" w:rsidTr="00F02024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Depuis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26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, 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Blindekuh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, à Zurich, propose un voyage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gustatif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l’obscurité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. Pour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cela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fait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appel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à du personnel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aveugle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malvoyant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, qui se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déplace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avec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agilité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le restaurant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plongé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le noir et qui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conseille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clientèle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attablée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.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  <w:t> </w:t>
                                          </w:r>
                                        </w:p>
                                        <w:p w:rsidR="0012134B" w:rsidRDefault="0012134B" w:rsidP="00F02024">
                                          <w:pPr>
                                            <w:pStyle w:val="NormalWeb"/>
                                            <w:rPr>
                                              <w:rFonts w:ascii="Atkinson Hyperlegible" w:hAnsi="Atkinson Hyperlegible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15" w:tgtFrame="_blank" w:tooltip="Vers l'article " w:history="1"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Vers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l'article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 </w:t>
                                            </w:r>
                                            <w:proofErr w:type="spellStart"/>
                                          </w:hyperlink>
                                          <w:hyperlink r:id="rId16" w:tgtFrame="_blank" w:tooltip="Vers l'article sur le travail à la Blindekuh" w:history="1"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sur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 xml:space="preserve"> le travail à la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Lienhypertexte"/>
                                                <w:rFonts w:ascii="Atkinson Hyperlegible" w:hAnsi="Atkinson Hyperlegible"/>
                                                <w:sz w:val="30"/>
                                                <w:szCs w:val="30"/>
                                              </w:rPr>
                                              <w:t>Blindekuh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2134B" w:rsidTr="00F02024">
                                      <w:trPr>
                                        <w:trHeight w:val="180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2134B" w:rsidRDefault="0012134B" w:rsidP="00F02024">
                                          <w:pPr>
                                            <w:spacing w:line="225" w:lineRule="exac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2134B" w:rsidRDefault="0012134B" w:rsidP="00F02024"/>
                                </w:tc>
                              </w:tr>
                            </w:tbl>
                            <w:p w:rsidR="0012134B" w:rsidRDefault="0012134B" w:rsidP="00F02024">
                              <w:pP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/>
        </w:tc>
      </w:tr>
    </w:tbl>
    <w:p w:rsidR="0012134B" w:rsidRDefault="0012134B" w:rsidP="0012134B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072"/>
      </w:tblGrid>
      <w:tr w:rsidR="0012134B" w:rsidTr="00F02024">
        <w:trPr>
          <w:trHeight w:val="600"/>
          <w:jc w:val="center"/>
        </w:trPr>
        <w:tc>
          <w:tcPr>
            <w:tcW w:w="0" w:type="auto"/>
            <w:vAlign w:val="center"/>
            <w:hideMark/>
          </w:tcPr>
          <w:p w:rsidR="0012134B" w:rsidRDefault="0012134B" w:rsidP="00F02024">
            <w:pPr>
              <w:spacing w:line="750" w:lineRule="exact"/>
              <w:rPr>
                <w:sz w:val="75"/>
                <w:szCs w:val="75"/>
              </w:rPr>
            </w:pPr>
            <w:r>
              <w:rPr>
                <w:sz w:val="75"/>
                <w:szCs w:val="75"/>
              </w:rPr>
              <w:softHyphen/>
            </w:r>
          </w:p>
        </w:tc>
      </w:tr>
      <w:tr w:rsidR="0012134B" w:rsidTr="00F02024">
        <w:trPr>
          <w:jc w:val="center"/>
        </w:trPr>
        <w:tc>
          <w:tcPr>
            <w:tcW w:w="0" w:type="auto"/>
            <w:shd w:val="clear" w:color="auto" w:fill="FFE6BC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12134B" w:rsidTr="00F0202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12134B" w:rsidTr="00F02024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2134B" w:rsidRDefault="0012134B" w:rsidP="00F02024">
                              <w:pPr>
                                <w:pStyle w:val="Titre2"/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  <w:shd w:val="clear" w:color="auto" w:fill="FFFFFF"/>
                                </w:rPr>
                                <w:lastRenderedPageBreak/>
                                <w:t xml:space="preserve"> De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  <w:shd w:val="clear" w:color="auto" w:fill="FFFFFF"/>
                                </w:rPr>
                                <w:t>fédération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  <w:shd w:val="clear" w:color="auto" w:fill="FFFFFF"/>
                                </w:rPr>
                                <w:t>: </w:t>
                              </w:r>
                            </w:p>
                            <w:p w:rsidR="0012134B" w:rsidRDefault="0012134B" w:rsidP="00F02024">
                              <w:pPr>
                                <w:pStyle w:val="Titre2"/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Petites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annonces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Venez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faire </w:t>
                              </w:r>
                              <w:proofErr w:type="gram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un</w:t>
                              </w:r>
                              <w:proofErr w:type="gram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tour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sur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notre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plateforme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42"/>
                                  <w:szCs w:val="42"/>
                                </w:rPr>
                                <w:t>! </w:t>
                              </w:r>
                            </w:p>
                          </w:tc>
                        </w:tr>
                      </w:tbl>
                      <w:p w:rsidR="0012134B" w:rsidRDefault="0012134B" w:rsidP="00F02024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12134B" w:rsidTr="00F02024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12134B" w:rsidRDefault="0012134B" w:rsidP="00F02024">
                              <w:pPr>
                                <w:pStyle w:val="default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Notre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plateforme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des petites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annonces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dédiée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à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cécité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et à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malvoyance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ligne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depuis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un </w:t>
                              </w:r>
                              <w:proofErr w:type="gram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an</w:t>
                              </w:r>
                              <w:proofErr w:type="gram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déjà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connaît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succès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grandissant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. De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nombreux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appareils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moyens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auxiliaires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ont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déjà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trouvé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acquéreur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. </w:t>
                              </w:r>
                            </w:p>
                            <w:p w:rsidR="0012134B" w:rsidRDefault="0012134B" w:rsidP="00F02024">
                              <w:pPr>
                                <w:pStyle w:val="default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</w:p>
                            <w:p w:rsidR="0012134B" w:rsidRDefault="0012134B" w:rsidP="00F02024">
                              <w:pPr>
                                <w:pStyle w:val="default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Vous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venez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d’acheter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un nouveau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lecteur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souhaitez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vendre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l’ancien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Vous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cherchez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ligne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braille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à un prix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avantageux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vous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êtes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à la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recherche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d’un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compagnon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d’une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compagne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pour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votre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prochaine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excursion?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Alors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venez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faire un tour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sur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notre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plateforme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Vous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trouverez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annonces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vente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d’achat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moyens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auxiliaires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d’autres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propositions et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offres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intéressantes</w:t>
                              </w:r>
                              <w:proofErr w:type="spellEnd"/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:rsidR="0012134B" w:rsidRDefault="0012134B" w:rsidP="00F02024">
                              <w:pPr>
                                <w:pStyle w:val="default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  <w:p w:rsidR="0012134B" w:rsidRDefault="0012134B" w:rsidP="00F02024">
                              <w:pPr>
                                <w:pStyle w:val="default"/>
                                <w:rPr>
                                  <w:rFonts w:ascii="Atkinson Hyperlegible" w:hAnsi="Atkinson Hyperlegible"/>
                                  <w:sz w:val="30"/>
                                  <w:szCs w:val="30"/>
                                </w:rPr>
                              </w:pPr>
                              <w:hyperlink r:id="rId17" w:tgtFrame="_blank" w:tooltip="Vers les petites annonces" w:history="1">
                                <w:proofErr w:type="spellStart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  <w:bdr w:val="single" w:sz="2" w:space="0" w:color="000000" w:frame="1"/>
                                  </w:rPr>
                                  <w:t>Vers</w:t>
                                </w:r>
                                <w:proofErr w:type="spellEnd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  <w:bdr w:val="single" w:sz="2" w:space="0" w:color="000000" w:frame="1"/>
                                  </w:rPr>
                                  <w:t xml:space="preserve"> les petites </w:t>
                                </w:r>
                                <w:proofErr w:type="spellStart"/>
                                <w:r>
                                  <w:rPr>
                                    <w:rStyle w:val="Lienhypertexte"/>
                                    <w:rFonts w:ascii="Atkinson Hyperlegible" w:hAnsi="Atkinson Hyperlegible"/>
                                    <w:sz w:val="30"/>
                                    <w:szCs w:val="30"/>
                                    <w:bdr w:val="single" w:sz="2" w:space="0" w:color="000000" w:frame="1"/>
                                  </w:rPr>
                                  <w:t>annonces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12134B" w:rsidRDefault="0012134B" w:rsidP="00F02024"/>
                    </w:tc>
                  </w:tr>
                </w:tbl>
                <w:p w:rsidR="0012134B" w:rsidRDefault="0012134B" w:rsidP="00F02024">
                  <w:pPr>
                    <w:rPr>
                      <w:rFonts w:ascii="Atkinson Hyperlegible" w:hAnsi="Atkinson Hyperlegible"/>
                      <w:sz w:val="30"/>
                      <w:szCs w:val="30"/>
                    </w:rPr>
                  </w:pPr>
                </w:p>
              </w:tc>
            </w:tr>
          </w:tbl>
          <w:p w:rsidR="0012134B" w:rsidRDefault="0012134B" w:rsidP="00F02024"/>
        </w:tc>
      </w:tr>
    </w:tbl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 Hyperlegib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2134B"/>
    <w:rsid w:val="0012134B"/>
    <w:rsid w:val="0017744C"/>
    <w:rsid w:val="00687751"/>
    <w:rsid w:val="00DF5EF5"/>
    <w:rsid w:val="00EF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re1">
    <w:name w:val="heading 1"/>
    <w:basedOn w:val="Normal"/>
    <w:link w:val="Titre1Car"/>
    <w:uiPriority w:val="9"/>
    <w:qFormat/>
    <w:rsid w:val="0012134B"/>
    <w:pPr>
      <w:outlineLvl w:val="0"/>
    </w:pPr>
    <w:rPr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12134B"/>
    <w:pPr>
      <w:outlineLvl w:val="1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134B"/>
    <w:rPr>
      <w:rFonts w:ascii="Times New Roman" w:eastAsia="Times New Roman" w:hAnsi="Times New Roman" w:cs="Times New Roman"/>
      <w:color w:val="000000"/>
      <w:kern w:val="36"/>
      <w:sz w:val="48"/>
      <w:szCs w:val="4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2134B"/>
    <w:rPr>
      <w:rFonts w:ascii="Times New Roman" w:eastAsia="Times New Roman" w:hAnsi="Times New Roman" w:cs="Times New Roman"/>
      <w:color w:val="000000"/>
      <w:sz w:val="36"/>
      <w:szCs w:val="36"/>
      <w:lang w:val="en-US"/>
    </w:rPr>
  </w:style>
  <w:style w:type="character" w:styleId="Lienhypertexte">
    <w:name w:val="Hyperlink"/>
    <w:basedOn w:val="Policepardfaut"/>
    <w:uiPriority w:val="99"/>
    <w:unhideWhenUsed/>
    <w:rsid w:val="0012134B"/>
    <w:rPr>
      <w:rFonts w:cs="Times New Roman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12134B"/>
  </w:style>
  <w:style w:type="paragraph" w:customStyle="1" w:styleId="default">
    <w:name w:val="default"/>
    <w:basedOn w:val="Normal"/>
    <w:rsid w:val="0012134B"/>
  </w:style>
  <w:style w:type="paragraph" w:styleId="Textedebulles">
    <w:name w:val="Balloon Text"/>
    <w:basedOn w:val="Normal"/>
    <w:link w:val="TextedebullesCar"/>
    <w:uiPriority w:val="99"/>
    <w:semiHidden/>
    <w:unhideWhenUsed/>
    <w:rsid w:val="001213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34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g9q.r.a.d.sendibm1.com/mk/cl/f/sh/6rqJeRLnnTQ2gi2V19erLArGTMV/X0dkIqp5SxUX" TargetMode="External"/><Relationship Id="rId13" Type="http://schemas.openxmlformats.org/officeDocument/2006/relationships/hyperlink" Target="https://dhg9q.r.a.d.sendibm1.com/mk/cl/f/sh/6rqJeRLno1jJOooOpv5KTgZ7yHn/z82Amo7OgNw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hg9q.r.a.d.sendibm1.com/mk/cl/f/sh/6rqJeRLnnMYaXt5Jr0AlVs7IAmF/t8QakbMercQW" TargetMode="External"/><Relationship Id="rId12" Type="http://schemas.openxmlformats.org/officeDocument/2006/relationships/hyperlink" Target="https://dhg9q.r.a.d.sendibm1.com/mk/cl/f/sh/6rqJeRLnnurrFzrDflbEeNp9fhX/dHyict2ySRR9" TargetMode="External"/><Relationship Id="rId17" Type="http://schemas.openxmlformats.org/officeDocument/2006/relationships/hyperlink" Target="https://dhg9q.r.a.d.sendibm1.com/mk/cl/f/sh/SMK18yw1bqgIkGMSZcuGyZGoilSp/uFI0kQeaqKV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hg9q.r.a.d.sendibm1.com/mk/cl/f/sh/SMK18yw1bOLaXpy6Thk0ujszk1kl/psoLTEGj9GHw" TargetMode="External"/><Relationship Id="rId1" Type="http://schemas.openxmlformats.org/officeDocument/2006/relationships/styles" Target="styles.xml"/><Relationship Id="rId6" Type="http://schemas.openxmlformats.org/officeDocument/2006/relationships/image" Target="https://dhg9q.img.a.d.sendibm1.com/im/sh/aU6bWRgV9gUv.jpeg?u=7xwQLFBtniwQo17GT9ixCG1Vt0G53Ch" TargetMode="External"/><Relationship Id="rId11" Type="http://schemas.openxmlformats.org/officeDocument/2006/relationships/hyperlink" Target="https://dhg9q.r.a.d.sendibm1.com/mk/cl/f/sh/6rqJeRLnno0P7Au2Vc78p55BN7H/3Nrymc4fSgz8" TargetMode="External"/><Relationship Id="rId5" Type="http://schemas.openxmlformats.org/officeDocument/2006/relationships/image" Target="https://dhg9q.img.a.d.sendibm1.com/im/sh/lXfBoSs3lvCr.png?u=7xwQLFBtniwQn1MBBl8KisefRHaKLwN" TargetMode="External"/><Relationship Id="rId15" Type="http://schemas.openxmlformats.org/officeDocument/2006/relationships/hyperlink" Target="https://dhg9q.r.a.d.sendibm1.com/mk/cl/f/sh/6rqJeRLnoFSDgSilAE3W8I34ZSJ/BC1oNCBlVT9M" TargetMode="External"/><Relationship Id="rId10" Type="http://schemas.openxmlformats.org/officeDocument/2006/relationships/hyperlink" Target="https://dhg9q.r.a.d.sendibm1.com/mk/cl/f/sh/6rqJeRLnnh8wyLwrLSd2zmLD4X1/n5lYB15r5ad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hg9q.r.a.d.sendibm1.com/mk/cl/f/sh/6rqJeRLnnFh8P488gqgfgZNJsBz/6UAEi5dhxcdK" TargetMode="External"/><Relationship Id="rId9" Type="http://schemas.openxmlformats.org/officeDocument/2006/relationships/hyperlink" Target="https://dhg9q.r.a.d.sendibm1.com/mk/cl/f/sh/6rqJeRLnnaHUpWzgBJ8xATbElwl/CKsphqJGgPBA" TargetMode="External"/><Relationship Id="rId14" Type="http://schemas.openxmlformats.org/officeDocument/2006/relationships/hyperlink" Target="https://dhg9q.r.a.d.sendibm1.com/mk/cl/f/sh/6rqJeRLno8alXdla04ZQIzJ6Gs3/P_COh6KEzWd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2026-04-09T21:06:00Z</dcterms:created>
  <dcterms:modified xsi:type="dcterms:W3CDTF">2026-04-09T21:09:00Z</dcterms:modified>
</cp:coreProperties>
</file>